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71"/>
        <w:gridCol w:w="1489"/>
        <w:gridCol w:w="1701"/>
        <w:gridCol w:w="1559"/>
      </w:tblGrid>
      <w:tr w:rsidR="00FC00C7" w:rsidRPr="00C975B4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widowControl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行政管理专业攻读硕士学位研究生培养方案</w:t>
            </w:r>
          </w:p>
        </w:tc>
      </w:tr>
      <w:tr w:rsidR="00FC00C7" w:rsidRPr="00C975B4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5CF" w:rsidRPr="00C975B4" w:rsidRDefault="00904C35" w:rsidP="00C975B4">
            <w:pPr>
              <w:shd w:val="clear" w:color="auto" w:fill="FFFFFF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行政是以公法为基础的管理活动，是治国理政、管理公共事务的基本</w:t>
            </w:r>
            <w:r w:rsidR="00F9675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形式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  <w:r w:rsidR="0060622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行政管理学又称行政学或公共行政学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="00F23BF8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以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系统</w:t>
            </w:r>
            <w:r w:rsidR="00BF4B84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研究行政体系</w:t>
            </w:r>
            <w:r w:rsidR="00F23BF8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行政活动</w:t>
            </w:r>
            <w:r w:rsidR="00F23BF8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以及</w:t>
            </w:r>
            <w:r w:rsidR="003A0BFC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其他</w:t>
            </w:r>
            <w:r w:rsidR="00F23BF8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公共事务管理为目标，是一门理论性与应用性高度结合</w:t>
            </w:r>
            <w:r w:rsidR="00E2602C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的综合性学科</w:t>
            </w:r>
            <w:r w:rsidR="00F23BF8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。尽管</w:t>
            </w:r>
            <w:r w:rsidR="00977B0C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行政是与国家和政府一样古老的人类活动，但行政学的诞生</w:t>
            </w:r>
            <w:r w:rsidR="00F902C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却只有</w:t>
            </w:r>
            <w:r w:rsidR="00977B0C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百多年的历史</w:t>
            </w:r>
            <w:r w:rsidR="00F902C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  <w:r w:rsidR="005B677A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在行政学的发展史上，</w:t>
            </w:r>
            <w:r w:rsidR="00EA375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行政学充分借鉴和吸收其他社会科学的理论</w:t>
            </w:r>
            <w:r w:rsidR="00CA4C4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成果</w:t>
            </w:r>
            <w:r w:rsidR="00EA375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，并积极回应于社会发展和时代进步，产生了众多的学术思想和理论流派，体现了</w:t>
            </w:r>
            <w:r w:rsidR="00CA4C4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朝气勃发的学术生命力和理论创造力，长期以来为推动政府改革、社会进步和国家治理的现代化</w:t>
            </w:r>
            <w:r w:rsidR="00E07749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做出了显著的理论贡献。</w:t>
            </w:r>
          </w:p>
          <w:p w:rsidR="003065CF" w:rsidRPr="00C975B4" w:rsidRDefault="00E07749" w:rsidP="00C975B4">
            <w:pPr>
              <w:shd w:val="clear" w:color="auto" w:fill="FFFFFF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行政学自清末引入中国</w:t>
            </w:r>
            <w:r w:rsidR="00261EF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后</w:t>
            </w:r>
            <w:bookmarkStart w:id="0" w:name="_GoBack"/>
            <w:bookmarkEnd w:id="0"/>
            <w:r w:rsidR="00261EF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几经曲折，直至上世纪八十年代学科恢复重建后才迎来了蓬勃发展的新机遇。</w:t>
            </w:r>
            <w:r w:rsidR="00F9675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在教育部学科目录</w:t>
            </w:r>
            <w:r w:rsidR="0060622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调整</w:t>
            </w:r>
            <w:r w:rsidR="00F9675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后，行政管理作为公共管理一级学科下</w:t>
            </w:r>
            <w:r w:rsidR="003A0BFC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的传统优势科目</w:t>
            </w:r>
            <w:r w:rsidR="0060622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，在学术研究、人才培养和社会服务方面展现了强劲的发展潜力。</w:t>
            </w:r>
            <w:r w:rsidR="008A3B5E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中国政法大学的行政管理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专业已有三十多年的发展历史，在法学以外学科中有着举足轻重的地位。</w:t>
            </w:r>
            <w:r w:rsidR="00B4304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目前，中国政法大学的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公共管理学科现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有专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兼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职教师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近30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人，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更有来自港台的知名学者担任特聘教授、客座教授为学生授课。学科专职教师中现有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博士生导师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人，教授</w:t>
            </w:r>
            <w:r w:rsidR="00EE5FA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12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人，副教授</w:t>
            </w:r>
            <w:r w:rsidR="00313D69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11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人，讲师</w:t>
            </w:r>
            <w:r w:rsidR="003065CF" w:rsidRPr="00C975B4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人。教师中担任中国行政管理学会副会长1人，常务理事1人，理事2</w:t>
            </w:r>
            <w:r w:rsidR="0078235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人；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国家社科基金评审专家1</w:t>
            </w:r>
            <w:r w:rsidR="0078235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人；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教育部公共管理学科教学指导委员会副主任委员1</w:t>
            </w:r>
            <w:r w:rsidR="0078235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人；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中国行政体制改革研究会常务理事1人，理事1人，北京市教学名师1人。</w:t>
            </w:r>
          </w:p>
          <w:p w:rsidR="00FC00C7" w:rsidRPr="00C975B4" w:rsidRDefault="00313D69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行政管理专业</w:t>
            </w:r>
            <w:r w:rsidR="003065C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紧密围绕国家治理的现实需求和公共管理的理论创新，形成了一批具有学科优势的专业领域，在政府改革、人事法律与政策、地方治理与危机管理等领域均有着重要的学术影响力，在公共政策、人力资源管理、公共关系等领域形成了自己的专业特色。行政管理专业以“彰显公共关怀，理论联系实践”为宗旨，充分践行“扎根学术，服务社会”的理念，近年来学科教师承担了大量国家社科重点研究项目、立法项目以及政府委托的其他项目，并指导学生完成国家级和市级大学生实践创新项目十余项之多，直接为政府改革和政策立法提供智力支持。行政管理专业在研究生培养方面一贯坚持</w:t>
            </w:r>
            <w:r w:rsidR="008D6B0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人格培养与知识传授相结合、专业能力与综合素质相结合、理论功底与实践技能相结合，</w:t>
            </w:r>
            <w:r w:rsidR="009C025B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为党政机关、</w:t>
            </w:r>
            <w:r w:rsidR="00220A8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司法部门、</w:t>
            </w:r>
            <w:r w:rsidR="009C025B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企事业单位、</w:t>
            </w:r>
            <w:r w:rsidR="00220A8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非政府组织</w:t>
            </w:r>
            <w:r w:rsidR="009C025B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等培养了大量优秀的中高级公共管理人才。</w:t>
            </w:r>
          </w:p>
          <w:p w:rsidR="00220A8D" w:rsidRPr="00C975B4" w:rsidRDefault="00220A8D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23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43F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本专业</w:t>
            </w:r>
            <w:r w:rsidR="002D563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的研究生培养</w:t>
            </w:r>
            <w:r w:rsidR="00EF543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旨在</w:t>
            </w:r>
            <w:r w:rsidR="002D563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打造</w:t>
            </w:r>
            <w:r w:rsidR="00EF543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在公共管理领域中从事理论研究、</w:t>
            </w:r>
            <w:r w:rsidR="002D563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管理实践</w:t>
            </w:r>
            <w:r w:rsidR="00EF543F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</w:t>
            </w:r>
            <w:r w:rsidR="002D563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复合型人才，具体要求如下：</w:t>
            </w:r>
          </w:p>
          <w:p w:rsidR="002D5631" w:rsidRPr="00C975B4" w:rsidRDefault="002D563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（一）应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具有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健全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的人格品质和良好的公共精神，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具有高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度的公民责任感和务实的科学态度；</w:t>
            </w:r>
          </w:p>
          <w:p w:rsidR="002D5631" w:rsidRPr="00C975B4" w:rsidRDefault="002D563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（二）应熟练掌握公共行政的基本原理、理论思想、方</w:t>
            </w:r>
            <w:r w:rsidR="0041019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法技能，能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较好地运用专业</w:t>
            </w:r>
            <w:r w:rsidR="0041019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的知识体系和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思维能力对公共问题进行理论分析和</w:t>
            </w:r>
            <w:r w:rsidR="0041019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实践应对；</w:t>
            </w:r>
          </w:p>
          <w:p w:rsidR="002D5631" w:rsidRPr="00C975B4" w:rsidRDefault="00410192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（三）应具备宽广的学术视野，掌握基本的学术规范和研究方法，能从事专业领域内的创造性理论工作；</w:t>
            </w:r>
          </w:p>
          <w:p w:rsidR="002D5631" w:rsidRPr="00C975B4" w:rsidRDefault="00410192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（四）应具有敏锐的社会洞察力</w:t>
            </w:r>
            <w:r w:rsidR="003431B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强烈的问题意识和积极的行动</w:t>
            </w:r>
            <w:r w:rsidR="003431B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观念，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自觉运用专业知识从事公共管理的实践活动。</w:t>
            </w:r>
          </w:p>
          <w:p w:rsidR="00977B0C" w:rsidRPr="00C975B4" w:rsidRDefault="00977B0C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13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（一）公共行政理论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（二）公共政策分析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（三）公共管理与政府改革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（四）公民社会与地方治理</w:t>
            </w:r>
          </w:p>
          <w:p w:rsidR="00E5443E" w:rsidRPr="00C975B4" w:rsidRDefault="00E5443E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（五）危机管理与风险治理</w:t>
            </w:r>
          </w:p>
          <w:p w:rsidR="00E5443E" w:rsidRPr="00C975B4" w:rsidRDefault="00E5443E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（六）信访学</w:t>
            </w:r>
          </w:p>
          <w:p w:rsidR="00F169BA" w:rsidRPr="00C975B4" w:rsidRDefault="00F169BA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二至四年</w:t>
            </w:r>
          </w:p>
        </w:tc>
      </w:tr>
      <w:tr w:rsidR="00FC00C7" w:rsidRPr="00C975B4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五、课程设置、教学计划及学分要求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硕士研究生课程设置和教学进度按三年基准学制安排。所修学分不少于3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学分。跨学科和以同等学力考取的研究生所修学分不少于4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学分。</w:t>
            </w:r>
          </w:p>
          <w:p w:rsidR="00FC00C7" w:rsidRPr="00C975B4" w:rsidRDefault="00FC392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（一）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必修课程（计21分）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学位公共课：4门，计9学分。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学位基础课：1门，计3学分。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学位专业课：3门，计9学分。</w:t>
            </w:r>
          </w:p>
          <w:p w:rsidR="00FC00C7" w:rsidRPr="00C975B4" w:rsidRDefault="00FC392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（二）</w:t>
            </w:r>
            <w:r w:rsidR="00BA2F26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选修课程（不少于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学分）</w:t>
            </w:r>
          </w:p>
          <w:p w:rsidR="00BA2F26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专业限选课：1门，计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学分。</w:t>
            </w:r>
          </w:p>
          <w:p w:rsidR="00BA2F26" w:rsidRPr="00C975B4" w:rsidRDefault="00366AE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</w:t>
            </w:r>
            <w:r w:rsidR="00BA2F26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专业选修课：不少于</w:t>
            </w:r>
            <w:r w:rsidR="00BA2F26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="00BA2F26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门，选修</w:t>
            </w:r>
            <w:r w:rsidR="00BA2F26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学分</w:t>
            </w:r>
            <w:r w:rsidR="00BA2F26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不少于</w:t>
            </w:r>
            <w:r w:rsidR="00BA2F26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  <w:r w:rsidR="00BA2F26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学分。</w:t>
            </w:r>
          </w:p>
          <w:p w:rsidR="00BA2F26" w:rsidRPr="00C975B4" w:rsidRDefault="00366AE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3、</w:t>
            </w:r>
            <w:r w:rsidR="00BA2F26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任选课：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与其他限选/选修课程累计不少于10学分</w:t>
            </w:r>
            <w:r w:rsidR="00BA2F26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  <w:p w:rsidR="00FC00C7" w:rsidRPr="00C975B4" w:rsidRDefault="00FC392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（三）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补修课程（计4学分）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跨学科和以同等学力考取的研究生补修2门课程，每门计2学分。</w:t>
            </w:r>
          </w:p>
          <w:p w:rsidR="00FC00C7" w:rsidRPr="00C975B4" w:rsidRDefault="00FC3921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（三）</w:t>
            </w:r>
            <w:r w:rsidR="00FF01E3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其它培养环节（不少于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6学分）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文献阅读与综述：计2学分。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硕士研究生第1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4学期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内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，每学期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提交1篇读书报告或本专业文献综述，由导师评定成绩。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科研环节：计2学分。</w:t>
            </w:r>
          </w:p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　　硕士研究生第1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4学期，每学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应提交论文1篇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，由导师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评定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课题研究：计2学分。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硕士研究生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参加导师的、学校的或实践部门的科研项目以及学院自设的科研项目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并提交相应的科研成果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。第1-4学期内主持或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参与的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项目不少于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项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，导师以此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作为考核依据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并评定成绩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4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社会实践：计2学分。</w:t>
            </w:r>
          </w:p>
          <w:p w:rsidR="00FC00C7" w:rsidRPr="00C975B4" w:rsidRDefault="005A6633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硕士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研究生应参加为期3</w:t>
            </w:r>
            <w:r w:rsidR="00FB2F5F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6个月的社会实践。社会实践可以通过专业实习、挂职锻炼、产学研基地联合培养、社会调查、短期出国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交流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等方式进行。本环节通过提交实践单位鉴定意见、实践总结报告、出国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交流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总结等方式考核。</w:t>
            </w:r>
          </w:p>
          <w:p w:rsidR="005A6633" w:rsidRPr="00C975B4" w:rsidRDefault="005A6633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政务模拟（行为实验）：计2学分</w:t>
            </w:r>
          </w:p>
          <w:p w:rsidR="005A6633" w:rsidRPr="00C975B4" w:rsidRDefault="005A6633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硕士研究生在第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1-4学期内成功申报并参与政务模拟或行为实验的相关项目，完成</w:t>
            </w:r>
            <w:r w:rsidR="00BB224A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要求的实践（实验）</w:t>
            </w:r>
            <w:r w:rsidR="006B7075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环节，提交实践（实验）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报告并获得认证</w:t>
            </w:r>
            <w:r w:rsidR="00BB224A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上述</w:t>
            </w:r>
            <w:r w:rsidR="00FC3921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个培养环节由导师考核，研究生所修学分不低于6学分。</w:t>
            </w:r>
          </w:p>
          <w:p w:rsidR="00FC00C7" w:rsidRPr="00C975B4" w:rsidRDefault="00FC00C7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具体课程设置和教学计划见附表。</w:t>
            </w:r>
          </w:p>
          <w:p w:rsidR="00F169BA" w:rsidRPr="00C975B4" w:rsidRDefault="00F169BA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（一）采取硕士生导师负责制与硕士生指导小组集体培养相结合的制度。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二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）研究生入学后一个月内，在导师指导下制定研究生个人培养计划，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包括与专业方向相关的研究主题、阅读计划、论文发表、课题研究、社会实践、对外交流以及毕业论文选题的初步设想等。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三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）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重视课堂教学。侧重介绍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学科前沿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知识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，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强化方法论训练，关注社会发展中的重大问题。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（四）通过参与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课题研究的方式，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提高研究生的科研能力。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（五）重视第二课堂的学术活动，开设学术讲座、组织读书会，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鼓励研究生积极参加校内外学术活动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（六）以论文质量控制为重点，强化学生的学术规范意识和学术创新能力。</w:t>
            </w:r>
          </w:p>
        </w:tc>
      </w:tr>
      <w:tr w:rsidR="00FC00C7" w:rsidRPr="00C975B4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硕士研究生在完成课程学习和其他培养环节规定的要求后，要达到以下方面的素质与能力：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（一）专业知识。通过课堂学习与拓展阅读，系统阅读本专业的基本文献，了解学术前沿与热点问题，形成比较完整的专业知识体系。</w:t>
            </w:r>
          </w:p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 xml:space="preserve">　　（二）学术研究与创新能力。了解社会科学方法论，熟练掌握本专业研究方法，具有问题意识和一定学术创新能力。</w:t>
            </w:r>
          </w:p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 xml:space="preserve">　　（三）学术论文写作。选题具有较大的学术价值或现实意义，符合学术规范，具有一定的创新性。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（四）外语阅读与交流能力。熟练阅读本专业外文文献资料，能够进行基本的学术交流。鼓励学习第二外语。</w:t>
            </w:r>
          </w:p>
          <w:p w:rsidR="00F169BA" w:rsidRPr="00C975B4" w:rsidRDefault="00F169BA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（一）所有学位课必须考试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。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可采取笔试、口试、论文写作等多种形式。笔试必须有试卷，口试必须有记录。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（二）学位课成绩必须达到70分以上；选修课成绩必须在及格以上，否则不记学分。</w:t>
            </w:r>
          </w:p>
          <w:p w:rsidR="00F169BA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lastRenderedPageBreak/>
              <w:t>（三）其他培养环节，由导师根据相关要求评定成绩。</w:t>
            </w:r>
          </w:p>
        </w:tc>
      </w:tr>
      <w:tr w:rsidR="00FC00C7" w:rsidRPr="00C975B4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（一）在课程学分修满之后，硕士生应在导师的指导下，自主选择本学科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内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有理论价值和应用价值的课题作为研究题目，注重创新性和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前沿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性，力求有所突破和创新。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（二）学位论文应有开题报告、进展检查等过程，并有明确的时间安排。开题报告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应于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第二学年初进行，经导师指导小组审议、通过后可进入论文写作阶段。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开题未通过者应在二个月内进行第二次开题审议。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（三）学位论文应由研究生本人独立完成，严禁抄袭与剽窃。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四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）论文形式上应完全符合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学校规定的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学术规范，字数应在3万字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以上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200" w:firstLine="512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五</w:t>
            </w: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）学位论文水平应达到国家学位条例对硕士论文的其他要求。</w:t>
            </w:r>
          </w:p>
          <w:p w:rsidR="00F169BA" w:rsidRPr="00C975B4" w:rsidRDefault="00F169BA" w:rsidP="00C975B4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0C7" w:rsidRPr="00C975B4" w:rsidRDefault="00FC00C7" w:rsidP="00C975B4">
            <w:pPr>
              <w:ind w:leftChars="57" w:left="120" w:firstLineChars="100" w:firstLine="256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（一）申请学位必须符合国家学位条例规定的条件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leftChars="57" w:left="120" w:firstLineChars="100" w:firstLine="256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（二）学位申请材料齐全，内容详实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150" w:firstLine="384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（三）答辩委员会组成人员符合法定条件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8"/>
                <w:sz w:val="24"/>
                <w:szCs w:val="24"/>
              </w:rPr>
              <w:t>。</w:t>
            </w:r>
          </w:p>
          <w:p w:rsidR="00FC00C7" w:rsidRPr="00C975B4" w:rsidRDefault="00FC00C7" w:rsidP="00C975B4">
            <w:pPr>
              <w:ind w:firstLineChars="150" w:firstLine="384"/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8"/>
                <w:sz w:val="24"/>
                <w:szCs w:val="24"/>
              </w:rPr>
              <w:t>（四）学位论文的答辩及学位授予全过程，应按有关规定进行。</w:t>
            </w:r>
          </w:p>
          <w:p w:rsidR="00F169BA" w:rsidRPr="00C975B4" w:rsidRDefault="00F169BA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00C7" w:rsidRPr="00C975B4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C7" w:rsidRPr="00C975B4" w:rsidRDefault="00FC00C7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60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（一）</w:t>
            </w:r>
            <w:r w:rsidR="00EA106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中文书目 </w:t>
            </w:r>
          </w:p>
          <w:p w:rsidR="00FC00C7" w:rsidRPr="00C975B4" w:rsidRDefault="00FC00C7" w:rsidP="00C975B4">
            <w:pPr>
              <w:numPr>
                <w:ilvl w:val="0"/>
                <w:numId w:val="1"/>
              </w:num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丛书系列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、《公共行政与公共管理经典译丛》，中国人民大学出版社。</w:t>
            </w:r>
          </w:p>
          <w:p w:rsidR="00800E42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800E4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《国外行政学经典译丛》，中央党校出版社。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800E4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《制度分析与公共政策译丛》，上海三联出版社。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4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800E4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《公共管理评论》，清华大学出版社。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5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FB629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《公共政策经典译丛》，中国人民大学出版社。</w:t>
            </w:r>
          </w:p>
          <w:p w:rsidR="00800E42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6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800E42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《公共政策经典译丛》，生活·读书·新知三联书店。</w:t>
            </w:r>
          </w:p>
          <w:p w:rsidR="00FC00C7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7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FB629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《公共行政规范理论译丛》，中央编译出版社。</w:t>
            </w:r>
          </w:p>
          <w:p w:rsidR="000E0F1D" w:rsidRPr="00C975B4" w:rsidRDefault="00FC00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FB6295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《当代西方公共行政学思想经典译丛》，中国人民大学出版社。</w:t>
            </w:r>
          </w:p>
          <w:p w:rsidR="00FC00C7" w:rsidRPr="00C975B4" w:rsidRDefault="00173092" w:rsidP="00C975B4">
            <w:pPr>
              <w:numPr>
                <w:ilvl w:val="0"/>
                <w:numId w:val="1"/>
              </w:numPr>
              <w:tabs>
                <w:tab w:val="left" w:pos="840"/>
              </w:tabs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经典教材、著作及</w:t>
            </w:r>
            <w:r w:rsidR="00403988" w:rsidRPr="00C975B4">
              <w:rPr>
                <w:rFonts w:ascii="仿宋" w:eastAsia="仿宋" w:hAnsi="仿宋"/>
                <w:color w:val="000000" w:themeColor="text1"/>
                <w:sz w:val="24"/>
              </w:rPr>
              <w:t>译著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（德）柯武刚、史漫飞著，韩朝华译：《制度经济学：社会秩序与公共政策》，商务印书馆2000年版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（德）尤尔根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哈贝马斯著，曹卫东等译：《公共领域的结构转型》，学林出版社1999年版。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（法）皮埃尔·卡蓝默：《破碎的民主：试论治理的革命》，三联书店2005年版。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（荷）米歇尔·S·德·弗里斯、（韩）金判锡主编，熊缨、耿小平等译：《公共行政中的价值观与美德》，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中国人民大学出版社2014年版。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（加）亨利·明茨伯格著，魏青江译：《卓有成效的组织》，中国人民大学出版社2007年版。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（美）B·盖伊·彼得斯著，聂露、李姿姿译：《比较公共行政导论：官僚政治视角》（第6版），中国人民大学出版社2015年。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（美）F．J．古德诺著，王元译：《政治与行政》，华夏出版社1987年版。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（美）H.乔治·弗雷德里克森著，张成福等译：《公共行政的精神》（中文修订版），中国人民大学出版社2013年版。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（美）埃莉诺·奥斯特罗姆著，余逊达、陈旭东译：《公共事物的治理之道》，上海译文出版社2012年版。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（美）彼得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·德鲁克著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，蔡文燕译：《下一个社会的管理》，机械工业出版社2009年版。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查尔斯·J·福克斯、休·T·米勒著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楚艳红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曹沁颖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吴巧林译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：《后现代公共行政》（中文修订版），中国人民大学出版社2013年版。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（美）查尔斯·沃尔夫：《市场或政府：权衡两种不完善的选择》，中国发展出版社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1994年版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（美）戴维·H·罗森布鲁姆：《公共行政学：管理、政治和法律的途径》（第5版），中国人民大学出版社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2002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（美）德博拉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·斯通著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顾建光译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：《政策悖论：政治决策中的艺术》（修订版），中国人民大学出版社2006年版。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（美）法默尔：《公共行政的语言——官僚制、现代性与后现代性》，中国人民大学出版社2005年版。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（美）菲勒尔·海迪著，刘俊生译：《比较公共行政》（第6版），中国人民大学出版社2006年版。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（美）格罗弗·斯塔林著，常健等译：《公共部门管理》（第8版），中国人民大学出版社2012年版。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（美）海尔·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G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·瑞尼著，王孙禺译：《理解和管理公共组织》，清华大学出版社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2002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杰伊.D.怀特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盖.B.亚当斯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：《公共行政学研究：对理论和实践的反思》，清华大学出版社2005年版。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（美）杰伊·M·沙夫里茨著，刘俊生等译：《公共行政导论》（第6版），中国人民大学出版社2011年版。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（美）克里斯托弗·波利特等著：《公共管理改革：比较分析》，上海译文出版社2003年版。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（美）李侃如著，胡国成、赵梅译：《治理中国：从革命到改革》，中国社会科学出版社2010年版。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（美）理查得·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W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·达夫特著，黄洋译：《组织理论：理性、自然和开放系统》，华夏出版社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（美）罗伯特·B·登哈特著，扶松茂、丁力译：《公共组织理论》（第5版），中国人民大学出版社2011年版。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（美）麦克斯怀特著，吴琼译：《公共行政的合法性》，中国人民大学出版社2002年版。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曼瑟尔·奥尔森著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陈郁译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集体行动的逻辑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》，上海人民出版社1995年版。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（美）全钟燮著，孙柏瑛等译：《公共行政的社会建构：解释与批判》，北京大学出版社2008年版。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（美）斯科特·戈登著，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应奇等译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：《控制国家：西方宪政的历史》，江苏人民出版社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（美）特里·L·库珀著，张秀琴译：《行政伦理学：实现行政责任的途径》（第5版），中国人民大学出版社2010年版。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约翰·克莱顿·托马斯著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，孙柏瑛等译：《公共决策中的公民参与》，中国人民大学出版社2010年版。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（瑞典）马茨·阿尔维森，（英）休·威尔莫特著，戴黍译：《理解管理：一种批判性导论》，中央编译出版社2012年版。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（印）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阿马蒂亚·森著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任赜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于真译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：《以自由看待发展》，中国人民大学出版社2002年版。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（英）胡德：《国家的艺术：文化、修辞与公共管理》。上海人民出版社2004年版。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（英）简·莱恩著，赵成根译：《新公共管理》，中国青年出版社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2004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龚祥瑞：《比较宪法与行政法》，法律出版社2003年版。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景跃进、陈明明、肖滨等：《当代中国政府与政治》，中国人民大学出版社2016年版。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刘俊生：《公共人事管理比较分析》，人民出版社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马建川、翟校义：《公共行政原理》，河南人民出版社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2002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马骏、叶娟丽：《西方公共行政学理论前沿》，中国社会科学出版社2004年版。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马骏、张成福、何艳玲主编：《反思中国公共行政学：危机与重建》，中央编译出版社2009年版。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毛寿龙：《西方政府的治道变革》，中国人民大学出版社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1998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毛寿龙：《有限政府的经济分析》，上海三联书店2000年版。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毛寿龙主编：《西方公共行政学名著提要》，江西人民出版社2006年版。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潘小娟，翟校义等：《地方治理新论》，国家行政学院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出版社2014年版。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石亚军：《阅读政府改革》，中国政法大学出版社2015年版。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孙柏瑛：《当代地方治理》，中国人民大学出版社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2004年版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王名扬：《法国行政法》，中国政法大学出版社1997年版。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王名扬：《美国行政法》（上、下），中国法制出版社1995年版。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王名扬：《英国行政法》，中国政法大学出版社1987年版。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吴琼恩：《行政学》（第5版），三民书局股份有限公司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15年版。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夏书章：《行政管理学》（第5版），中山大学出版社2013年版。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颜昌武、马骏编译：《公共行政学百年争论》，中国人民大学出版社2010年版。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应松年、薛刚凌：《行政组织法研究》，法律出版社2002年版。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俞可平主编：《治理与善治》，社会科学文献出版社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2000年版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张成福、党秀云：《公共管理学》（修订版），中国人民大学出版社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200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张国庆：《公共行政学》（第3版），北京大学出版社2007年版。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张康之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张乾友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：《公共行政的概念》，中国社会科学出版社2013年版。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张康之：《公共行政的行动主义》，江苏人民出版社2014年版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张康之：《论伦理精神》，江苏人民出版社2010年版。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竺乾威：《公共行政理论》，复旦大学出版社2015年版。</w:t>
            </w:r>
          </w:p>
          <w:p w:rsidR="00360A4F" w:rsidRPr="00C975B4" w:rsidRDefault="00360A4F" w:rsidP="00C975B4">
            <w:pPr>
              <w:numPr>
                <w:ilvl w:val="0"/>
                <w:numId w:val="1"/>
              </w:numPr>
              <w:tabs>
                <w:tab w:val="left" w:pos="840"/>
              </w:tabs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研究方法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（澳）利亚姆帕特唐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艾子著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郑显兰译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：《质性研究方法》，重庆大学出版社2009年版。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（美）艾尔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·巴比著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邱泽奇译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：《社会研究方法》（第11版），华夏出版社2009年版。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（美）韦恩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·C·布斯等著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陈美霞等译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：《研究是一门艺术》，新华出版社2009年版。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（英）安东尼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·韦斯顿著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，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卿松竹译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：《论证是一门学问》，新华出版社2009年版。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（英）大卫·马什、格里·斯托克编，景跃进、张小劲、欧阳景根译：《政治科学的理论与方法》（第2版），中国人民大学出版社2006年版。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风笑天：《社会学研究方法》，中国人民大学出版社2009年版。</w:t>
            </w:r>
          </w:p>
          <w:p w:rsidR="00F872A4" w:rsidRPr="00C975B4" w:rsidRDefault="00F872A4" w:rsidP="00C975B4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苏珊·维尔奇：《公共管理中的量化方法：技术与应用》，中国人民大学出版社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2003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7871FC" w:rsidRPr="00C975B4" w:rsidRDefault="007871FC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917BFD" w:rsidRPr="00C975B4" w:rsidRDefault="00A209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（二</w:t>
            </w:r>
            <w:r w:rsidR="00917BF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）英文书目 </w:t>
            </w:r>
          </w:p>
          <w:p w:rsidR="00917BFD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1、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欧文·E·休斯：《公共管理导论》（第4版），中国人民大学2015年版。</w:t>
            </w:r>
          </w:p>
          <w:p w:rsidR="00917BFD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2、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杰伊·M·沙夫里茨等编：《公共行政学经典》（第4版），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中国人民大学出版社2004年版。</w:t>
            </w:r>
          </w:p>
          <w:p w:rsidR="00917BFD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3、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杰伊·M·沙夫里茨等编：《组织理论经典》（第5版），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中国人民大学出版社2004年版。</w:t>
            </w:r>
          </w:p>
          <w:p w:rsidR="00917BFD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4、尼古拉斯·亨利：《公共行政与公共事务》（第10版），中国人民大学出版社2011年版。</w:t>
            </w:r>
          </w:p>
          <w:p w:rsidR="00EC6F20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5、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戴维·H·罗森布鲁姆</w:t>
            </w:r>
            <w:r w:rsidR="00EC6F20" w:rsidRPr="00C975B4">
              <w:rPr>
                <w:rFonts w:ascii="仿宋" w:eastAsia="仿宋" w:hAnsi="仿宋"/>
                <w:color w:val="000000" w:themeColor="text1"/>
                <w:sz w:val="24"/>
              </w:rPr>
              <w:t>等著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：《公共行政学：管理、政治和法律的途径》（第7版），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中国人民大学出版社2013年版。</w:t>
            </w:r>
          </w:p>
          <w:p w:rsidR="00917BFD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6、格罗弗·斯塔林：《公共部门管理》（第9版），中国人民大学出版社2014年版。</w:t>
            </w:r>
          </w:p>
          <w:p w:rsidR="00EC6F20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7、</w:t>
            </w:r>
            <w:r w:rsidR="00EC6F20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托马斯·R·戴伊：《理解公共政策》（第10版），中国人民大学出版社2004年版</w:t>
            </w:r>
            <w:r w:rsidR="009178AA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8D3826" w:rsidRPr="00C975B4" w:rsidRDefault="00917BFD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8、</w:t>
            </w:r>
            <w:r w:rsidR="008D382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马克·莫尔：《创造公共价值：政府战略管理》（英文版），清华大学出版社</w:t>
            </w:r>
            <w:r w:rsidR="008D3826" w:rsidRPr="00C975B4">
              <w:rPr>
                <w:rFonts w:ascii="仿宋" w:eastAsia="仿宋" w:hAnsi="仿宋"/>
                <w:color w:val="000000" w:themeColor="text1"/>
                <w:sz w:val="24"/>
              </w:rPr>
              <w:t>2003</w:t>
            </w:r>
            <w:r w:rsidR="008D3826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年版。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9、洛克：《政府论两篇》（影印本），中国政法大学出版社2003年版。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10、孟德斯鸠：《论法的精神》（影印本），中国政法大学出版社2003年版。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11、Carol H.. Weiss, Evaluation: Methods for Studying Programs and Policies, Prentice-Hall, Inc. 1998.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12、Laura Langbein, Public Program Evaluation: A Statistical Guide, M. E. Sharpe, Inc. 2006.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13、Susan Rose-Ackerman, Corruption: A Study in Political Economy, New York: Academic Press, 1978.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14.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Burns, James MacGregor,et al., Government by the People, 16th ed. Prentice Hall, 1995.</w:t>
            </w:r>
          </w:p>
          <w:p w:rsidR="00435F67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15、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Wang Gunwu and Zheng Yongnian, Reform, Legitimacy &amp; Dilemmas: 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C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hina’s 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olitics and 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S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</w:rPr>
              <w:t>ociety, Singapore University Press, 2000.</w:t>
            </w:r>
          </w:p>
          <w:p w:rsidR="00636FC1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6、Patashnik, Eric. Putting Trust in the US budget: Federal Trust Funds and the Politics of Commitment. Cambridge: Cambridge University Press, 2001.</w:t>
            </w:r>
          </w:p>
          <w:p w:rsidR="00636FC1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7、Albert C. Hyde. Government Budgeting: Theory, Proce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ss, and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>olitics. Pacific Grove: Brooks/Cole Publishing Company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,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1991.</w:t>
            </w:r>
          </w:p>
          <w:p w:rsidR="00636FC1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1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8、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Khan Aman &amp; W.Bartley Hildreth. Budget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T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heory in the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ublic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S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>ector. Westpoint: Quorum Books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,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2002.</w:t>
            </w:r>
          </w:p>
          <w:p w:rsidR="00636FC1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9、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Khan Aman. Financial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M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anagement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T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heories in the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ublic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S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>ector. Westpoint: Quorum Books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,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2004.</w:t>
            </w:r>
          </w:p>
          <w:p w:rsidR="00636FC1" w:rsidRPr="00C975B4" w:rsidRDefault="00435F6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0、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John Bartle. Evolving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T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heories of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ublic 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B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>udgeting. New York: JAI Press</w:t>
            </w:r>
            <w:r w:rsidR="00636FC1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,</w:t>
            </w:r>
            <w:r w:rsidR="00636FC1" w:rsidRPr="00C975B4">
              <w:rPr>
                <w:rFonts w:ascii="仿宋" w:eastAsia="仿宋" w:hAnsi="仿宋"/>
                <w:color w:val="000000" w:themeColor="text1"/>
                <w:sz w:val="24"/>
              </w:rPr>
              <w:t xml:space="preserve"> 2001.</w:t>
            </w:r>
          </w:p>
          <w:p w:rsidR="00435F67" w:rsidRPr="00C975B4" w:rsidRDefault="00435F67" w:rsidP="00C975B4">
            <w:pPr>
              <w:ind w:firstLineChars="150" w:firstLine="3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21、H. George Frederickson, ed., Ethics and Public Administration, M. E. Sharpe, Inc. 1993.</w:t>
            </w:r>
          </w:p>
          <w:p w:rsidR="00435F67" w:rsidRPr="00C975B4" w:rsidRDefault="00435F67" w:rsidP="00C975B4">
            <w:pPr>
              <w:ind w:firstLineChars="150" w:firstLine="3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22、</w:t>
            </w:r>
            <w:r w:rsidR="00C769DD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Rob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ert B. Denhardt, In The Shadow of Organization, Univ1ersity Press of Kansas, 1981.</w:t>
            </w:r>
          </w:p>
          <w:p w:rsidR="00435F67" w:rsidRPr="00C975B4" w:rsidRDefault="00435F67" w:rsidP="00C975B4">
            <w:pPr>
              <w:ind w:firstLineChars="150" w:firstLine="3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23、Terry L. Cooper, ed., Handbook of Administration Ethics, Marcel Dekker, Inc, 1994.</w:t>
            </w:r>
          </w:p>
          <w:p w:rsidR="00435F67" w:rsidRPr="00C975B4" w:rsidRDefault="00435F67" w:rsidP="00C975B4">
            <w:pPr>
              <w:ind w:firstLineChars="150" w:firstLine="3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24、Peter Madsen, Jay M. Shafritz, ed., Essentials of Government Ethics, The Penguin Group, 1992.</w:t>
            </w:r>
          </w:p>
          <w:p w:rsidR="00435F67" w:rsidRPr="00C975B4" w:rsidRDefault="00435F67" w:rsidP="00C975B4">
            <w:pPr>
              <w:ind w:firstLineChars="150" w:firstLine="3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25、Adams, Guy &amp; Danny Balfour. Unmasking Administrative Evil. Thousand Oak: Sage Publication, Inc, 1998.</w:t>
            </w:r>
          </w:p>
          <w:p w:rsidR="00A209C7" w:rsidRPr="00C975B4" w:rsidRDefault="00A209C7" w:rsidP="00C975B4">
            <w:pPr>
              <w:tabs>
                <w:tab w:val="left" w:pos="840"/>
              </w:tabs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E77C7" w:rsidRPr="00C975B4" w:rsidRDefault="006E77C7" w:rsidP="00C975B4">
            <w:pPr>
              <w:tabs>
                <w:tab w:val="left" w:pos="840"/>
              </w:tabs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（三）学术期刊</w:t>
            </w:r>
          </w:p>
          <w:p w:rsidR="00ED64BF" w:rsidRPr="00C975B4" w:rsidRDefault="00ED64BF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《中国行政管理》</w:t>
            </w:r>
          </w:p>
          <w:p w:rsidR="006E77C7" w:rsidRPr="00C975B4" w:rsidRDefault="006E77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《公共行政评论》</w:t>
            </w:r>
          </w:p>
          <w:p w:rsidR="00E55D08" w:rsidRPr="00C975B4" w:rsidRDefault="00E55D08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《公共管理与政策评论》</w:t>
            </w:r>
          </w:p>
          <w:p w:rsidR="006E77C7" w:rsidRPr="00C975B4" w:rsidRDefault="006E77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《公共行政》（人大复印资料）</w:t>
            </w:r>
          </w:p>
          <w:p w:rsidR="00ED64BF" w:rsidRPr="00C975B4" w:rsidRDefault="00ED64BF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《宪法学、行政法学》</w:t>
            </w:r>
            <w:r w:rsidR="007361B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（人大复印资料）</w:t>
            </w:r>
          </w:p>
          <w:p w:rsidR="006E77C7" w:rsidRPr="00C975B4" w:rsidRDefault="006E77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</w:t>
            </w:r>
            <w:r w:rsidR="007361B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中国政治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》</w:t>
            </w:r>
            <w:r w:rsidR="007361B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（人大复印资料）</w:t>
            </w:r>
          </w:p>
          <w:p w:rsidR="007361B7" w:rsidRPr="00C975B4" w:rsidRDefault="007361B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《管理</w:t>
            </w:r>
            <w:r w:rsidR="00A05357"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科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学》（人大复印资料）</w:t>
            </w:r>
          </w:p>
          <w:p w:rsidR="007361B7" w:rsidRPr="00C975B4" w:rsidRDefault="007361B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《政治学研究》</w:t>
            </w:r>
          </w:p>
          <w:p w:rsidR="006E77C7" w:rsidRPr="00C975B4" w:rsidRDefault="00ED64BF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《管理世界》</w:t>
            </w:r>
          </w:p>
          <w:p w:rsidR="006E77C7" w:rsidRPr="00C975B4" w:rsidRDefault="006E77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《中国社会科学》</w:t>
            </w:r>
          </w:p>
          <w:p w:rsidR="00E55D08" w:rsidRPr="00C975B4" w:rsidRDefault="00E55D08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《国外社会科学》</w:t>
            </w:r>
          </w:p>
          <w:p w:rsidR="00A05357" w:rsidRPr="00C975B4" w:rsidRDefault="00A0535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</w:rPr>
              <w:t>《新华文摘》</w:t>
            </w:r>
          </w:p>
          <w:p w:rsidR="006E77C7" w:rsidRPr="00C975B4" w:rsidRDefault="006E77C7" w:rsidP="00C975B4">
            <w:pPr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00C7" w:rsidRPr="00C975B4" w:rsidRDefault="00FC00C7" w:rsidP="00C975B4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C975B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学位评定分委员会主任签字：</w:t>
      </w:r>
      <w:r w:rsidRPr="00C975B4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</w:t>
      </w:r>
    </w:p>
    <w:p w:rsidR="00FB47BD" w:rsidRPr="00C975B4" w:rsidRDefault="00FC00C7" w:rsidP="00C975B4">
      <w:pPr>
        <w:spacing w:line="360" w:lineRule="auto"/>
        <w:jc w:val="right"/>
        <w:rPr>
          <w:rFonts w:ascii="仿宋" w:eastAsia="仿宋" w:hAnsi="仿宋"/>
          <w:color w:val="000000" w:themeColor="text1"/>
          <w:sz w:val="24"/>
        </w:rPr>
      </w:pPr>
      <w:r w:rsidRPr="00C975B4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C975B4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Pr="00C975B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C975B4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Pr="00C975B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FC00C7" w:rsidRPr="00C975B4" w:rsidRDefault="00FC00C7" w:rsidP="00C975B4">
      <w:pPr>
        <w:spacing w:line="360" w:lineRule="auto"/>
        <w:ind w:left="482"/>
        <w:rPr>
          <w:rFonts w:ascii="仿宋" w:eastAsia="仿宋" w:hAnsi="仿宋"/>
          <w:color w:val="000000" w:themeColor="text1"/>
          <w:sz w:val="24"/>
        </w:rPr>
        <w:sectPr w:rsidR="00FC00C7" w:rsidRPr="00C975B4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C00C7" w:rsidRPr="00C975B4" w:rsidRDefault="00FC00C7" w:rsidP="00C975B4">
      <w:pPr>
        <w:spacing w:line="360" w:lineRule="auto"/>
        <w:ind w:left="482"/>
        <w:rPr>
          <w:rFonts w:ascii="仿宋" w:eastAsia="仿宋" w:hAnsi="仿宋"/>
          <w:color w:val="000000" w:themeColor="text1"/>
          <w:sz w:val="24"/>
        </w:rPr>
      </w:pPr>
      <w:r w:rsidRPr="00C975B4">
        <w:rPr>
          <w:rFonts w:ascii="仿宋" w:eastAsia="仿宋" w:hAnsi="仿宋" w:hint="eastAsia"/>
          <w:color w:val="000000" w:themeColor="text1"/>
          <w:sz w:val="24"/>
        </w:rPr>
        <w:lastRenderedPageBreak/>
        <w:t>五、课程设置、教学计划及学分要求</w:t>
      </w:r>
    </w:p>
    <w:p w:rsidR="00C957CA" w:rsidRPr="00C975B4" w:rsidRDefault="00C957CA" w:rsidP="00C975B4">
      <w:pPr>
        <w:spacing w:line="360" w:lineRule="auto"/>
        <w:ind w:left="482"/>
        <w:rPr>
          <w:rFonts w:ascii="仿宋" w:eastAsia="仿宋" w:hAnsi="仿宋"/>
          <w:color w:val="000000" w:themeColor="text1"/>
          <w:sz w:val="24"/>
        </w:rPr>
      </w:pPr>
    </w:p>
    <w:p w:rsidR="00FC00C7" w:rsidRPr="00C975B4" w:rsidRDefault="00FC00C7" w:rsidP="00C975B4">
      <w:pPr>
        <w:jc w:val="center"/>
        <w:rPr>
          <w:rFonts w:ascii="仿宋" w:eastAsia="仿宋" w:hAnsi="仿宋"/>
          <w:color w:val="000000" w:themeColor="text1"/>
          <w:sz w:val="24"/>
        </w:rPr>
      </w:pPr>
      <w:r w:rsidRPr="00C975B4">
        <w:rPr>
          <w:rFonts w:ascii="仿宋" w:eastAsia="仿宋" w:hAnsi="仿宋" w:hint="eastAsia"/>
          <w:color w:val="000000" w:themeColor="text1"/>
          <w:sz w:val="24"/>
        </w:rPr>
        <w:t>行政管理专业攻读硕士学位研究生课程设置、教学计划及学分要求一览表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30"/>
        <w:gridCol w:w="2559"/>
        <w:gridCol w:w="1194"/>
        <w:gridCol w:w="1700"/>
        <w:gridCol w:w="709"/>
        <w:gridCol w:w="709"/>
        <w:gridCol w:w="709"/>
        <w:gridCol w:w="992"/>
        <w:gridCol w:w="850"/>
        <w:gridCol w:w="1747"/>
      </w:tblGrid>
      <w:tr w:rsidR="00FC00C7" w:rsidRPr="00C975B4">
        <w:trPr>
          <w:jc w:val="center"/>
        </w:trPr>
        <w:tc>
          <w:tcPr>
            <w:tcW w:w="2907" w:type="dxa"/>
            <w:gridSpan w:val="2"/>
            <w:vAlign w:val="center"/>
          </w:tcPr>
          <w:p w:rsidR="00FC00C7" w:rsidRPr="00C975B4" w:rsidRDefault="008D4289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·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类</w:t>
            </w:r>
            <w:r w:rsidR="00FC00C7"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FC00C7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559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194" w:type="dxa"/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开课</w:t>
            </w:r>
          </w:p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教学</w:t>
            </w:r>
          </w:p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kern w:val="24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24"/>
                <w:sz w:val="24"/>
                <w:szCs w:val="24"/>
              </w:rPr>
              <w:t>考核</w:t>
            </w:r>
          </w:p>
          <w:p w:rsidR="00FC00C7" w:rsidRPr="00C975B4" w:rsidRDefault="00FC00C7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kern w:val="24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24"/>
                <w:sz w:val="24"/>
                <w:szCs w:val="24"/>
              </w:rPr>
              <w:t>方式</w:t>
            </w:r>
          </w:p>
        </w:tc>
        <w:tc>
          <w:tcPr>
            <w:tcW w:w="1747" w:type="dxa"/>
            <w:vAlign w:val="center"/>
          </w:tcPr>
          <w:p w:rsidR="00FC00C7" w:rsidRPr="00C975B4" w:rsidRDefault="00FC00C7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备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注</w:t>
            </w: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 w:val="restart"/>
            <w:textDirection w:val="tbRlV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必修课程</w:t>
            </w:r>
          </w:p>
        </w:tc>
        <w:tc>
          <w:tcPr>
            <w:tcW w:w="1430" w:type="dxa"/>
            <w:vMerge w:val="restart"/>
            <w:textDirection w:val="tbRlV"/>
            <w:vAlign w:val="center"/>
          </w:tcPr>
          <w:p w:rsidR="00522466" w:rsidRPr="00C975B4" w:rsidRDefault="00522466" w:rsidP="00C975B4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学位公共课</w:t>
            </w: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中国特色社会主义理论与实践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 w:val="restart"/>
            <w:vAlign w:val="center"/>
          </w:tcPr>
          <w:p w:rsidR="00522466" w:rsidRPr="00C975B4" w:rsidRDefault="00522466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所修公共课学分为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9学分</w:t>
            </w: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textDirection w:val="tbRlV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马克思主义与社会科学方法论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textDirection w:val="tbRlV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ind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基础外语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textDirection w:val="tbRlV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ind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社会科学方法论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学位基础课</w:t>
            </w: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公共行政专题研究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Chars="-27" w:left="63" w:right="-57" w:hangingChars="50" w:hanging="12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C426C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 w:val="restart"/>
            <w:vAlign w:val="center"/>
          </w:tcPr>
          <w:p w:rsidR="00522466" w:rsidRPr="00C975B4" w:rsidRDefault="00522466" w:rsidP="00C975B4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所修学位课学分为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12学分</w:t>
            </w: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22466" w:rsidRPr="00C975B4" w:rsidRDefault="00522466" w:rsidP="00C975B4">
            <w:pPr>
              <w:ind w:lef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学位专业课</w:t>
            </w:r>
          </w:p>
        </w:tc>
        <w:tc>
          <w:tcPr>
            <w:tcW w:w="2559" w:type="dxa"/>
            <w:vAlign w:val="center"/>
          </w:tcPr>
          <w:p w:rsidR="00522466" w:rsidRPr="00C975B4" w:rsidRDefault="00343626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地方治理专题研究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522466" w:rsidRPr="00C975B4" w:rsidRDefault="00343626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22466" w:rsidRPr="00C975B4" w:rsidRDefault="00522466" w:rsidP="00C975B4">
            <w:pPr>
              <w:ind w:lef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22466" w:rsidRPr="00C975B4" w:rsidRDefault="00522466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公共政策分析专题研究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C426C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22466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22466" w:rsidRPr="00C975B4" w:rsidRDefault="00522466" w:rsidP="00C975B4">
            <w:pPr>
              <w:ind w:lef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22466" w:rsidRPr="00C975B4" w:rsidRDefault="00343626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公共经济学专题研究</w:t>
            </w:r>
          </w:p>
        </w:tc>
        <w:tc>
          <w:tcPr>
            <w:tcW w:w="1194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2466" w:rsidRPr="00C975B4" w:rsidRDefault="00522466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522466" w:rsidRPr="00C975B4" w:rsidRDefault="00343626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22466" w:rsidRPr="00C975B4" w:rsidRDefault="00522466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22466" w:rsidRPr="00C975B4" w:rsidRDefault="005C426C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522466" w:rsidRPr="00C975B4" w:rsidRDefault="00522466" w:rsidP="00C975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F332B8" w:rsidRPr="00C975B4">
        <w:trPr>
          <w:cantSplit/>
          <w:jc w:val="center"/>
        </w:trPr>
        <w:tc>
          <w:tcPr>
            <w:tcW w:w="1477" w:type="dxa"/>
            <w:vMerge w:val="restart"/>
            <w:textDirection w:val="tbRlV"/>
            <w:vAlign w:val="center"/>
          </w:tcPr>
          <w:p w:rsidR="00F332B8" w:rsidRPr="00C975B4" w:rsidRDefault="00F332B8" w:rsidP="00C975B4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选修课程</w:t>
            </w:r>
          </w:p>
        </w:tc>
        <w:tc>
          <w:tcPr>
            <w:tcW w:w="1430" w:type="dxa"/>
            <w:vAlign w:val="center"/>
          </w:tcPr>
          <w:p w:rsidR="00F332B8" w:rsidRPr="00C975B4" w:rsidRDefault="00F332B8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-8"/>
                <w:sz w:val="24"/>
                <w:szCs w:val="24"/>
              </w:rPr>
              <w:t>专业限选课</w:t>
            </w:r>
          </w:p>
        </w:tc>
        <w:tc>
          <w:tcPr>
            <w:tcW w:w="2559" w:type="dxa"/>
            <w:vAlign w:val="center"/>
          </w:tcPr>
          <w:p w:rsidR="00F332B8" w:rsidRPr="00C975B4" w:rsidRDefault="00F332B8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行政法专题研究</w:t>
            </w:r>
          </w:p>
        </w:tc>
        <w:tc>
          <w:tcPr>
            <w:tcW w:w="1194" w:type="dxa"/>
            <w:vAlign w:val="center"/>
          </w:tcPr>
          <w:p w:rsidR="00F332B8" w:rsidRPr="00C975B4" w:rsidRDefault="00F332B8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F332B8" w:rsidRPr="00C975B4" w:rsidRDefault="00F332B8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32B8" w:rsidRPr="00C975B4" w:rsidRDefault="00F332B8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332B8" w:rsidRPr="00C975B4" w:rsidRDefault="00F332B8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F332B8" w:rsidRPr="00C975B4" w:rsidRDefault="00343626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32B8" w:rsidRPr="00C975B4" w:rsidRDefault="00F332B8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F332B8" w:rsidRPr="00C975B4" w:rsidRDefault="00F332B8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F332B8" w:rsidRPr="00C975B4" w:rsidRDefault="00F332B8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所修选修课学分应不少于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0学分</w:t>
            </w:r>
          </w:p>
        </w:tc>
      </w:tr>
      <w:tr w:rsidR="00B07555" w:rsidRPr="00C975B4">
        <w:trPr>
          <w:cantSplit/>
          <w:jc w:val="center"/>
        </w:trPr>
        <w:tc>
          <w:tcPr>
            <w:tcW w:w="1477" w:type="dxa"/>
            <w:vMerge/>
            <w:textDirection w:val="tbRlV"/>
            <w:vAlign w:val="center"/>
          </w:tcPr>
          <w:p w:rsidR="00B07555" w:rsidRPr="00C975B4" w:rsidRDefault="00B07555" w:rsidP="00C975B4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方向限选课</w:t>
            </w:r>
          </w:p>
        </w:tc>
        <w:tc>
          <w:tcPr>
            <w:tcW w:w="2559" w:type="dxa"/>
            <w:vAlign w:val="center"/>
          </w:tcPr>
          <w:p w:rsidR="00B07555" w:rsidRPr="00C975B4" w:rsidRDefault="00B07555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信访法治与政策专题研究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（信访学方向）</w:t>
            </w:r>
          </w:p>
        </w:tc>
        <w:tc>
          <w:tcPr>
            <w:tcW w:w="1194" w:type="dxa"/>
            <w:vAlign w:val="center"/>
          </w:tcPr>
          <w:p w:rsidR="00B07555" w:rsidRPr="00C975B4" w:rsidRDefault="00B07555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B07555" w:rsidRPr="00C975B4" w:rsidRDefault="00B07555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07555" w:rsidRPr="00C975B4">
        <w:trPr>
          <w:cantSplit/>
          <w:jc w:val="center"/>
        </w:trPr>
        <w:tc>
          <w:tcPr>
            <w:tcW w:w="1477" w:type="dxa"/>
            <w:vMerge/>
            <w:textDirection w:val="tbRlV"/>
            <w:vAlign w:val="center"/>
          </w:tcPr>
          <w:p w:rsidR="00B07555" w:rsidRPr="00C975B4" w:rsidRDefault="00B07555" w:rsidP="00C975B4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07555" w:rsidRPr="00C975B4" w:rsidRDefault="00B07555" w:rsidP="00C975B4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危机管理与风险治理专题研究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（危机管理与风险治理方向）</w:t>
            </w:r>
          </w:p>
        </w:tc>
        <w:tc>
          <w:tcPr>
            <w:tcW w:w="1194" w:type="dxa"/>
            <w:vAlign w:val="center"/>
          </w:tcPr>
          <w:p w:rsidR="00B07555" w:rsidRPr="00C975B4" w:rsidRDefault="00B07555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B07555" w:rsidRPr="00C975B4" w:rsidRDefault="00B07555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B07555" w:rsidRPr="00C975B4" w:rsidRDefault="00B07555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B344A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-8"/>
                <w:sz w:val="24"/>
                <w:szCs w:val="24"/>
              </w:rPr>
              <w:t>专业选修课</w:t>
            </w:r>
          </w:p>
        </w:tc>
        <w:tc>
          <w:tcPr>
            <w:tcW w:w="2559" w:type="dxa"/>
            <w:vAlign w:val="center"/>
          </w:tcPr>
          <w:p w:rsidR="005B344A" w:rsidRPr="00C975B4" w:rsidRDefault="005B344A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公共管理理论前沿</w:t>
            </w:r>
          </w:p>
        </w:tc>
        <w:tc>
          <w:tcPr>
            <w:tcW w:w="1194" w:type="dxa"/>
            <w:vAlign w:val="center"/>
          </w:tcPr>
          <w:p w:rsidR="005B344A" w:rsidRPr="00C975B4" w:rsidRDefault="005B344A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B344A" w:rsidRPr="00C975B4" w:rsidRDefault="005B344A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5B344A" w:rsidRPr="00C975B4" w:rsidRDefault="005B344A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B344A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B344A" w:rsidRPr="00C975B4" w:rsidRDefault="005B344A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管理心理学专题研究</w:t>
            </w:r>
          </w:p>
        </w:tc>
        <w:tc>
          <w:tcPr>
            <w:tcW w:w="1194" w:type="dxa"/>
            <w:vAlign w:val="center"/>
          </w:tcPr>
          <w:p w:rsidR="005B344A" w:rsidRPr="00C975B4" w:rsidRDefault="005B344A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5B344A" w:rsidRPr="00C975B4" w:rsidRDefault="005B344A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B344A" w:rsidRPr="00C975B4" w:rsidRDefault="005B344A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5B344A" w:rsidRPr="00C975B4" w:rsidRDefault="005B344A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5B344A" w:rsidRPr="00C975B4" w:rsidRDefault="005B344A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公共人力资源管理专题研究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660CA6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比较</w:t>
            </w:r>
            <w:r w:rsidR="00DD574D"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公务员制度专题研究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《资治通鉴》管理案例研讨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当代中国政治过程</w:t>
            </w:r>
            <w:r w:rsidR="007849E0" w:rsidRPr="00C975B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专题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政府公共关系专题研究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公共行政经典选读</w:t>
            </w:r>
          </w:p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（专业英语）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行政伦理专题研究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社会政策专题研究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 w:firstLineChars="50" w:firstLine="12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绩效与薪酬管理专题研究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 w:firstLineChars="50" w:firstLine="12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highlight w:val="yellow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监管治理专题研究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rightChars="-27" w:right="-57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应急法制专题研究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rightChars="-27" w:right="-57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  <w:t>管理学研究方法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-8"/>
                <w:sz w:val="24"/>
                <w:szCs w:val="24"/>
              </w:rPr>
              <w:t>（双语）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pacing w:val="-8"/>
                <w:sz w:val="24"/>
                <w:szCs w:val="24"/>
              </w:rPr>
              <w:t>公共政策量化分析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行政改革专题研究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政府绩效管理（双语）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  <w:t>创新管理与战略</w:t>
            </w:r>
            <w:r w:rsidRPr="00C975B4">
              <w:rPr>
                <w:rFonts w:ascii="仿宋" w:eastAsia="仿宋" w:hAnsi="仿宋" w:hint="eastAsia"/>
                <w:color w:val="000000" w:themeColor="text1"/>
                <w:spacing w:val="-8"/>
                <w:sz w:val="24"/>
                <w:szCs w:val="24"/>
              </w:rPr>
              <w:t>（双语）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论文设计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本院及本校其他课程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1477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tabs>
                <w:tab w:val="left" w:pos="3248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 w:val="restart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补修课程</w:t>
            </w: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管理学原理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　补修4学分</w:t>
            </w: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行政学原理</w:t>
            </w:r>
          </w:p>
        </w:tc>
        <w:tc>
          <w:tcPr>
            <w:tcW w:w="1194" w:type="dxa"/>
            <w:vAlign w:val="center"/>
          </w:tcPr>
          <w:p w:rsidR="00DD574D" w:rsidRPr="00C975B4" w:rsidRDefault="00DD574D" w:rsidP="00C975B4">
            <w:pPr>
              <w:ind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 w:val="restart"/>
            <w:textDirection w:val="tbRlV"/>
            <w:vAlign w:val="center"/>
          </w:tcPr>
          <w:p w:rsidR="00DD574D" w:rsidRPr="00C975B4" w:rsidRDefault="00DD574D" w:rsidP="00C975B4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其他培养环节</w:t>
            </w: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文献阅读与综述</w:t>
            </w:r>
          </w:p>
        </w:tc>
        <w:tc>
          <w:tcPr>
            <w:tcW w:w="2894" w:type="dxa"/>
            <w:gridSpan w:val="2"/>
            <w:vAlign w:val="center"/>
          </w:tcPr>
          <w:p w:rsidR="00DD574D" w:rsidRPr="00C975B4" w:rsidRDefault="00DD574D" w:rsidP="00C975B4">
            <w:pPr>
              <w:ind w:firstLineChars="100" w:firstLine="24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详见“五、课程设置、教学计划及学分要求”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所修学分不低于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学分</w:t>
            </w: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科研环节</w:t>
            </w:r>
          </w:p>
        </w:tc>
        <w:tc>
          <w:tcPr>
            <w:tcW w:w="2894" w:type="dxa"/>
            <w:gridSpan w:val="2"/>
            <w:vAlign w:val="center"/>
          </w:tcPr>
          <w:p w:rsidR="00DD574D" w:rsidRPr="00C975B4" w:rsidRDefault="00DD574D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课题研究</w:t>
            </w:r>
          </w:p>
        </w:tc>
        <w:tc>
          <w:tcPr>
            <w:tcW w:w="2894" w:type="dxa"/>
            <w:gridSpan w:val="2"/>
            <w:vAlign w:val="center"/>
          </w:tcPr>
          <w:p w:rsidR="00DD574D" w:rsidRPr="00C975B4" w:rsidRDefault="00DD574D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pacing w:val="-1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4.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社会实践</w:t>
            </w:r>
          </w:p>
        </w:tc>
        <w:tc>
          <w:tcPr>
            <w:tcW w:w="2894" w:type="dxa"/>
            <w:gridSpan w:val="2"/>
            <w:vAlign w:val="center"/>
          </w:tcPr>
          <w:p w:rsidR="00DD574D" w:rsidRPr="00C975B4" w:rsidRDefault="00DD574D" w:rsidP="00C975B4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pacing w:val="-10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D574D" w:rsidRPr="00C975B4">
        <w:trPr>
          <w:cantSplit/>
          <w:jc w:val="center"/>
        </w:trPr>
        <w:tc>
          <w:tcPr>
            <w:tcW w:w="2907" w:type="dxa"/>
            <w:gridSpan w:val="2"/>
            <w:vMerge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B47B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5.政务模拟（行为实验）</w:t>
            </w:r>
          </w:p>
        </w:tc>
        <w:tc>
          <w:tcPr>
            <w:tcW w:w="2894" w:type="dxa"/>
            <w:gridSpan w:val="2"/>
            <w:vAlign w:val="center"/>
          </w:tcPr>
          <w:p w:rsidR="00FB47BD" w:rsidRPr="00C975B4" w:rsidRDefault="00DD574D" w:rsidP="00C975B4">
            <w:pPr>
              <w:ind w:firstLineChars="100" w:firstLine="24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同上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DD574D" w:rsidRPr="00C975B4" w:rsidRDefault="00DD574D" w:rsidP="00C975B4">
            <w:pPr>
              <w:ind w:leftChars="-27" w:left="-57"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74D" w:rsidRPr="00C975B4" w:rsidRDefault="00DD574D" w:rsidP="00C975B4">
            <w:pPr>
              <w:ind w:right="-57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D574D" w:rsidRPr="00C975B4" w:rsidTr="006E77C7">
        <w:trPr>
          <w:cantSplit/>
          <w:jc w:val="center"/>
        </w:trPr>
        <w:tc>
          <w:tcPr>
            <w:tcW w:w="2907" w:type="dxa"/>
            <w:gridSpan w:val="2"/>
            <w:vAlign w:val="center"/>
          </w:tcPr>
          <w:p w:rsidR="00DD574D" w:rsidRPr="00C975B4" w:rsidRDefault="00DD574D" w:rsidP="00C975B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1169" w:type="dxa"/>
            <w:gridSpan w:val="9"/>
            <w:vAlign w:val="center"/>
          </w:tcPr>
          <w:p w:rsidR="00DD574D" w:rsidRPr="00C975B4" w:rsidRDefault="00DD574D" w:rsidP="00C975B4">
            <w:pPr>
              <w:ind w:leftChars="-27" w:left="-57" w:right="-57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所修学分不少于37学分，含补修课程的学生需完成</w:t>
            </w:r>
            <w:r w:rsidRPr="00C975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 w:rsidRPr="00C975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1学分。</w:t>
            </w:r>
          </w:p>
        </w:tc>
      </w:tr>
    </w:tbl>
    <w:p w:rsidR="00FC00C7" w:rsidRPr="00C975B4" w:rsidRDefault="00FC00C7" w:rsidP="00C975B4">
      <w:pPr>
        <w:rPr>
          <w:rFonts w:ascii="仿宋" w:eastAsia="仿宋" w:hAnsi="仿宋"/>
          <w:color w:val="000000" w:themeColor="text1"/>
        </w:rPr>
      </w:pPr>
    </w:p>
    <w:sectPr w:rsidR="00FC00C7" w:rsidRPr="00C975B4" w:rsidSect="00636EE6"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77" w:rsidRDefault="00DC0E77">
      <w:r>
        <w:separator/>
      </w:r>
    </w:p>
  </w:endnote>
  <w:endnote w:type="continuationSeparator" w:id="0">
    <w:p w:rsidR="00DC0E77" w:rsidRDefault="00DC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C" w:rsidRDefault="005C42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75B4" w:rsidRPr="00C975B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C426C" w:rsidRDefault="005C42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C" w:rsidRDefault="005C42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75B4" w:rsidRPr="00C975B4">
      <w:rPr>
        <w:noProof/>
        <w:lang w:val="zh-CN"/>
      </w:rPr>
      <w:t>12</w:t>
    </w:r>
    <w:r>
      <w:rPr>
        <w:noProof/>
        <w:lang w:val="zh-CN"/>
      </w:rPr>
      <w:fldChar w:fldCharType="end"/>
    </w:r>
  </w:p>
  <w:p w:rsidR="005C426C" w:rsidRDefault="005C4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77" w:rsidRDefault="00DC0E77">
      <w:r>
        <w:separator/>
      </w:r>
    </w:p>
  </w:footnote>
  <w:footnote w:type="continuationSeparator" w:id="0">
    <w:p w:rsidR="00DC0E77" w:rsidRDefault="00DC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9B9"/>
    <w:multiLevelType w:val="hybridMultilevel"/>
    <w:tmpl w:val="8236E6A0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" w15:restartNumberingAfterBreak="0">
    <w:nsid w:val="33E10435"/>
    <w:multiLevelType w:val="hybridMultilevel"/>
    <w:tmpl w:val="4E1267D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91C4E41"/>
    <w:multiLevelType w:val="hybridMultilevel"/>
    <w:tmpl w:val="8D5EDAA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A7C"/>
    <w:rsid w:val="00012328"/>
    <w:rsid w:val="00020590"/>
    <w:rsid w:val="0002177D"/>
    <w:rsid w:val="0002340C"/>
    <w:rsid w:val="00032158"/>
    <w:rsid w:val="0003376D"/>
    <w:rsid w:val="00040FD3"/>
    <w:rsid w:val="0004218D"/>
    <w:rsid w:val="00045797"/>
    <w:rsid w:val="00051CB7"/>
    <w:rsid w:val="00070F18"/>
    <w:rsid w:val="00077CF8"/>
    <w:rsid w:val="0008079A"/>
    <w:rsid w:val="000966CA"/>
    <w:rsid w:val="00097343"/>
    <w:rsid w:val="000D7BBD"/>
    <w:rsid w:val="000E0F1D"/>
    <w:rsid w:val="000E53C7"/>
    <w:rsid w:val="000F2B22"/>
    <w:rsid w:val="00121DE4"/>
    <w:rsid w:val="00132150"/>
    <w:rsid w:val="00140BAE"/>
    <w:rsid w:val="00141DCD"/>
    <w:rsid w:val="0015617A"/>
    <w:rsid w:val="00157357"/>
    <w:rsid w:val="00170015"/>
    <w:rsid w:val="00172A27"/>
    <w:rsid w:val="00173092"/>
    <w:rsid w:val="00173C9A"/>
    <w:rsid w:val="001769A7"/>
    <w:rsid w:val="00181538"/>
    <w:rsid w:val="00190712"/>
    <w:rsid w:val="001907D0"/>
    <w:rsid w:val="0019644A"/>
    <w:rsid w:val="001A64E5"/>
    <w:rsid w:val="001A7CA8"/>
    <w:rsid w:val="001B54BF"/>
    <w:rsid w:val="001C2548"/>
    <w:rsid w:val="001D15A8"/>
    <w:rsid w:val="001F230F"/>
    <w:rsid w:val="001F714F"/>
    <w:rsid w:val="002156D5"/>
    <w:rsid w:val="00216ACA"/>
    <w:rsid w:val="00220A8D"/>
    <w:rsid w:val="00243575"/>
    <w:rsid w:val="00261EF5"/>
    <w:rsid w:val="00285C18"/>
    <w:rsid w:val="00290849"/>
    <w:rsid w:val="002C310C"/>
    <w:rsid w:val="002D5631"/>
    <w:rsid w:val="002F3C65"/>
    <w:rsid w:val="002F3E39"/>
    <w:rsid w:val="002F79D7"/>
    <w:rsid w:val="00303EBD"/>
    <w:rsid w:val="003065CF"/>
    <w:rsid w:val="00313D69"/>
    <w:rsid w:val="003160CC"/>
    <w:rsid w:val="00321580"/>
    <w:rsid w:val="003344C0"/>
    <w:rsid w:val="003362CB"/>
    <w:rsid w:val="003431B5"/>
    <w:rsid w:val="00343626"/>
    <w:rsid w:val="00346BD4"/>
    <w:rsid w:val="00351E8A"/>
    <w:rsid w:val="00360A4F"/>
    <w:rsid w:val="003644C7"/>
    <w:rsid w:val="00366AE7"/>
    <w:rsid w:val="00396EDE"/>
    <w:rsid w:val="003A0BFC"/>
    <w:rsid w:val="003A4894"/>
    <w:rsid w:val="003B456E"/>
    <w:rsid w:val="003B7BC7"/>
    <w:rsid w:val="003D243A"/>
    <w:rsid w:val="00403988"/>
    <w:rsid w:val="00410192"/>
    <w:rsid w:val="0041470D"/>
    <w:rsid w:val="0041481B"/>
    <w:rsid w:val="00421502"/>
    <w:rsid w:val="00424111"/>
    <w:rsid w:val="00435F67"/>
    <w:rsid w:val="00465CDA"/>
    <w:rsid w:val="00471DE4"/>
    <w:rsid w:val="00483CAC"/>
    <w:rsid w:val="004A7F57"/>
    <w:rsid w:val="004C0E1D"/>
    <w:rsid w:val="004C2458"/>
    <w:rsid w:val="004C5FF5"/>
    <w:rsid w:val="004D7869"/>
    <w:rsid w:val="004E25BA"/>
    <w:rsid w:val="004E2831"/>
    <w:rsid w:val="004F6DF2"/>
    <w:rsid w:val="00504E03"/>
    <w:rsid w:val="00522466"/>
    <w:rsid w:val="00525FDD"/>
    <w:rsid w:val="00530DFC"/>
    <w:rsid w:val="00543530"/>
    <w:rsid w:val="00544B82"/>
    <w:rsid w:val="00557BB1"/>
    <w:rsid w:val="005632AE"/>
    <w:rsid w:val="00570AD3"/>
    <w:rsid w:val="00584E96"/>
    <w:rsid w:val="005A6633"/>
    <w:rsid w:val="005B344A"/>
    <w:rsid w:val="005B677A"/>
    <w:rsid w:val="005C426C"/>
    <w:rsid w:val="005C7F06"/>
    <w:rsid w:val="005E4968"/>
    <w:rsid w:val="005E7C31"/>
    <w:rsid w:val="005F565A"/>
    <w:rsid w:val="00606226"/>
    <w:rsid w:val="006130E3"/>
    <w:rsid w:val="00623B99"/>
    <w:rsid w:val="00636EE6"/>
    <w:rsid w:val="00636FC1"/>
    <w:rsid w:val="00640886"/>
    <w:rsid w:val="00642824"/>
    <w:rsid w:val="00651CE5"/>
    <w:rsid w:val="00660CA6"/>
    <w:rsid w:val="00660E5A"/>
    <w:rsid w:val="006838FE"/>
    <w:rsid w:val="006B606D"/>
    <w:rsid w:val="006B7075"/>
    <w:rsid w:val="006E1A4D"/>
    <w:rsid w:val="006E52B4"/>
    <w:rsid w:val="006E77C7"/>
    <w:rsid w:val="00703B56"/>
    <w:rsid w:val="00715176"/>
    <w:rsid w:val="0071556F"/>
    <w:rsid w:val="007361B7"/>
    <w:rsid w:val="00737C49"/>
    <w:rsid w:val="007501AD"/>
    <w:rsid w:val="00752AFF"/>
    <w:rsid w:val="007634E9"/>
    <w:rsid w:val="0077298E"/>
    <w:rsid w:val="00782356"/>
    <w:rsid w:val="007849E0"/>
    <w:rsid w:val="0078672C"/>
    <w:rsid w:val="007867F2"/>
    <w:rsid w:val="007871FC"/>
    <w:rsid w:val="007911B6"/>
    <w:rsid w:val="007B4FA1"/>
    <w:rsid w:val="007C149F"/>
    <w:rsid w:val="007C5A63"/>
    <w:rsid w:val="007D2853"/>
    <w:rsid w:val="007D6162"/>
    <w:rsid w:val="00800E42"/>
    <w:rsid w:val="00804287"/>
    <w:rsid w:val="00837DF1"/>
    <w:rsid w:val="00864295"/>
    <w:rsid w:val="008662CE"/>
    <w:rsid w:val="00874607"/>
    <w:rsid w:val="008A3B5E"/>
    <w:rsid w:val="008B191E"/>
    <w:rsid w:val="008B396D"/>
    <w:rsid w:val="008B56D7"/>
    <w:rsid w:val="008C539E"/>
    <w:rsid w:val="008C76E7"/>
    <w:rsid w:val="008D3826"/>
    <w:rsid w:val="008D4289"/>
    <w:rsid w:val="008D6B0D"/>
    <w:rsid w:val="008F0F7A"/>
    <w:rsid w:val="00904C35"/>
    <w:rsid w:val="009121BA"/>
    <w:rsid w:val="009178AA"/>
    <w:rsid w:val="00917BFD"/>
    <w:rsid w:val="00926AD8"/>
    <w:rsid w:val="00926EB6"/>
    <w:rsid w:val="0094149B"/>
    <w:rsid w:val="00966A81"/>
    <w:rsid w:val="009735F7"/>
    <w:rsid w:val="00977B0C"/>
    <w:rsid w:val="00977EDD"/>
    <w:rsid w:val="00984F0E"/>
    <w:rsid w:val="009927F1"/>
    <w:rsid w:val="009948DA"/>
    <w:rsid w:val="009A5C0E"/>
    <w:rsid w:val="009C025B"/>
    <w:rsid w:val="009C535C"/>
    <w:rsid w:val="009C7054"/>
    <w:rsid w:val="009D59D2"/>
    <w:rsid w:val="009D72C6"/>
    <w:rsid w:val="009E75DD"/>
    <w:rsid w:val="009F3B36"/>
    <w:rsid w:val="00A05357"/>
    <w:rsid w:val="00A1715B"/>
    <w:rsid w:val="00A209C7"/>
    <w:rsid w:val="00A263CC"/>
    <w:rsid w:val="00A5701C"/>
    <w:rsid w:val="00A76C84"/>
    <w:rsid w:val="00AB28A6"/>
    <w:rsid w:val="00AC16E1"/>
    <w:rsid w:val="00AE176F"/>
    <w:rsid w:val="00AE3E8B"/>
    <w:rsid w:val="00AE6F38"/>
    <w:rsid w:val="00AF27B5"/>
    <w:rsid w:val="00B05D80"/>
    <w:rsid w:val="00B069AD"/>
    <w:rsid w:val="00B07555"/>
    <w:rsid w:val="00B21E43"/>
    <w:rsid w:val="00B26614"/>
    <w:rsid w:val="00B43040"/>
    <w:rsid w:val="00B66583"/>
    <w:rsid w:val="00B667F3"/>
    <w:rsid w:val="00B779A8"/>
    <w:rsid w:val="00B80E4E"/>
    <w:rsid w:val="00B840EB"/>
    <w:rsid w:val="00BA2F26"/>
    <w:rsid w:val="00BA7C00"/>
    <w:rsid w:val="00BB224A"/>
    <w:rsid w:val="00BC1BDA"/>
    <w:rsid w:val="00BC6450"/>
    <w:rsid w:val="00BC7E52"/>
    <w:rsid w:val="00BD0C3F"/>
    <w:rsid w:val="00BD43EA"/>
    <w:rsid w:val="00BF4B84"/>
    <w:rsid w:val="00C071D4"/>
    <w:rsid w:val="00C160CE"/>
    <w:rsid w:val="00C337E6"/>
    <w:rsid w:val="00C475CC"/>
    <w:rsid w:val="00C61C95"/>
    <w:rsid w:val="00C769DD"/>
    <w:rsid w:val="00C809C7"/>
    <w:rsid w:val="00C957CA"/>
    <w:rsid w:val="00C95C91"/>
    <w:rsid w:val="00C975B4"/>
    <w:rsid w:val="00CA4C46"/>
    <w:rsid w:val="00CD525D"/>
    <w:rsid w:val="00CE03D3"/>
    <w:rsid w:val="00CE10C8"/>
    <w:rsid w:val="00D07415"/>
    <w:rsid w:val="00D15DD5"/>
    <w:rsid w:val="00D47CD5"/>
    <w:rsid w:val="00D63EB0"/>
    <w:rsid w:val="00D67C1B"/>
    <w:rsid w:val="00D74299"/>
    <w:rsid w:val="00DA5798"/>
    <w:rsid w:val="00DB4CA0"/>
    <w:rsid w:val="00DC0E77"/>
    <w:rsid w:val="00DD1163"/>
    <w:rsid w:val="00DD574D"/>
    <w:rsid w:val="00DD6D0F"/>
    <w:rsid w:val="00E07749"/>
    <w:rsid w:val="00E0779E"/>
    <w:rsid w:val="00E2602C"/>
    <w:rsid w:val="00E27361"/>
    <w:rsid w:val="00E31BB0"/>
    <w:rsid w:val="00E40853"/>
    <w:rsid w:val="00E54264"/>
    <w:rsid w:val="00E5443E"/>
    <w:rsid w:val="00E55D08"/>
    <w:rsid w:val="00E67F67"/>
    <w:rsid w:val="00E76D46"/>
    <w:rsid w:val="00E778C3"/>
    <w:rsid w:val="00E96AAF"/>
    <w:rsid w:val="00EA1060"/>
    <w:rsid w:val="00EA32EE"/>
    <w:rsid w:val="00EA3755"/>
    <w:rsid w:val="00EA6D9B"/>
    <w:rsid w:val="00EB2805"/>
    <w:rsid w:val="00EB489C"/>
    <w:rsid w:val="00EC6446"/>
    <w:rsid w:val="00EC6F20"/>
    <w:rsid w:val="00ED64BF"/>
    <w:rsid w:val="00EE5781"/>
    <w:rsid w:val="00EE5FA6"/>
    <w:rsid w:val="00EF451F"/>
    <w:rsid w:val="00EF543F"/>
    <w:rsid w:val="00F169BA"/>
    <w:rsid w:val="00F232DC"/>
    <w:rsid w:val="00F23BF8"/>
    <w:rsid w:val="00F2630E"/>
    <w:rsid w:val="00F307DD"/>
    <w:rsid w:val="00F332B8"/>
    <w:rsid w:val="00F47FD4"/>
    <w:rsid w:val="00F71E6A"/>
    <w:rsid w:val="00F750EF"/>
    <w:rsid w:val="00F847FB"/>
    <w:rsid w:val="00F872A4"/>
    <w:rsid w:val="00F902CD"/>
    <w:rsid w:val="00F96752"/>
    <w:rsid w:val="00F97A64"/>
    <w:rsid w:val="00FA54E1"/>
    <w:rsid w:val="00FB2F5F"/>
    <w:rsid w:val="00FB47BD"/>
    <w:rsid w:val="00FB6295"/>
    <w:rsid w:val="00FC00C7"/>
    <w:rsid w:val="00FC3921"/>
    <w:rsid w:val="00FC635E"/>
    <w:rsid w:val="00FD2E56"/>
    <w:rsid w:val="00FD4553"/>
    <w:rsid w:val="00FF01E3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F9DDB0-9E68-4493-B9A4-E728414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0"/>
    <w:qFormat/>
    <w:rsid w:val="00636EE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36EE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3">
    <w:name w:val="页眉 字符"/>
    <w:basedOn w:val="a0"/>
    <w:link w:val="a4"/>
    <w:rsid w:val="00636EE6"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rsid w:val="00636EE6"/>
    <w:rPr>
      <w:rFonts w:ascii="Calibri" w:eastAsia="宋体" w:hAnsi="Calibri" w:cs="Times New Roman"/>
      <w:kern w:val="0"/>
      <w:sz w:val="18"/>
      <w:szCs w:val="20"/>
    </w:rPr>
  </w:style>
  <w:style w:type="character" w:styleId="a7">
    <w:name w:val="Hyperlink"/>
    <w:basedOn w:val="a0"/>
    <w:uiPriority w:val="99"/>
    <w:rsid w:val="00636E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EE6"/>
  </w:style>
  <w:style w:type="paragraph" w:styleId="a4">
    <w:name w:val="header"/>
    <w:basedOn w:val="a"/>
    <w:link w:val="a3"/>
    <w:rsid w:val="0063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636E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3B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36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902C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List Paragraph"/>
    <w:basedOn w:val="a"/>
    <w:uiPriority w:val="34"/>
    <w:qFormat/>
    <w:rsid w:val="002D56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07F0-363E-43AE-98B4-C2A7CC2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1452</Words>
  <Characters>8279</Characters>
  <Application>Microsoft Office Word</Application>
  <DocSecurity>0</DocSecurity>
  <PresentationFormat/>
  <Lines>68</Lines>
  <Paragraphs>19</Paragraphs>
  <Slides>0</Slides>
  <Notes>0</Notes>
  <HiddenSlides>0</HiddenSlides>
  <MMClips>0</MMClips>
  <ScaleCrop>false</ScaleCrop>
  <Company>Lenovo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creator>q</dc:creator>
  <cp:lastModifiedBy>Windows User</cp:lastModifiedBy>
  <cp:revision>37</cp:revision>
  <dcterms:created xsi:type="dcterms:W3CDTF">2016-11-17T07:23:00Z</dcterms:created>
  <dcterms:modified xsi:type="dcterms:W3CDTF">2018-05-12T08:24:00Z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