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0F" w:rsidRPr="00B7191B" w:rsidRDefault="00A51C0F" w:rsidP="00A51C0F">
      <w:pPr>
        <w:spacing w:before="360" w:after="360"/>
        <w:jc w:val="center"/>
        <w:rPr>
          <w:rFonts w:ascii="黑体" w:eastAsia="黑体" w:hAnsi="黑体"/>
          <w:b/>
          <w:sz w:val="36"/>
          <w:szCs w:val="36"/>
        </w:rPr>
      </w:pPr>
      <w:r w:rsidRPr="00B7191B">
        <w:rPr>
          <w:rFonts w:ascii="黑体" w:eastAsia="黑体" w:hAnsi="黑体" w:hint="eastAsia"/>
          <w:b/>
          <w:sz w:val="36"/>
          <w:szCs w:val="36"/>
        </w:rPr>
        <w:t>《研究生法学》编辑部中英文注释体例</w:t>
      </w:r>
      <w:r w:rsidR="00BD38BB">
        <w:rPr>
          <w:rFonts w:ascii="黑体" w:eastAsia="黑体" w:hAnsi="黑体" w:hint="eastAsia"/>
          <w:b/>
          <w:sz w:val="36"/>
          <w:szCs w:val="36"/>
        </w:rPr>
        <w:t>（2016.10.17）</w:t>
      </w:r>
    </w:p>
    <w:p w:rsidR="00BD38BB" w:rsidRPr="00B7191B" w:rsidRDefault="00BD38BB" w:rsidP="00BD38BB">
      <w:pPr>
        <w:spacing w:before="360" w:after="360"/>
        <w:jc w:val="center"/>
        <w:rPr>
          <w:rFonts w:ascii="黑体" w:eastAsia="黑体" w:hAnsi="黑体"/>
          <w:b/>
          <w:sz w:val="36"/>
          <w:szCs w:val="36"/>
        </w:rPr>
      </w:pPr>
      <w:r w:rsidRPr="00B7191B">
        <w:rPr>
          <w:rFonts w:ascii="黑体" w:eastAsia="黑体" w:hAnsi="黑体" w:hint="eastAsia"/>
          <w:b/>
          <w:sz w:val="36"/>
          <w:szCs w:val="36"/>
        </w:rPr>
        <w:t>正文校对注意事项</w:t>
      </w:r>
    </w:p>
    <w:p w:rsidR="00BD38BB" w:rsidRPr="00B7191B" w:rsidRDefault="00BD38BB" w:rsidP="00BD38BB">
      <w:pPr>
        <w:spacing w:line="360" w:lineRule="auto"/>
        <w:ind w:firstLineChars="200" w:firstLine="480"/>
        <w:jc w:val="left"/>
        <w:rPr>
          <w:bCs/>
          <w:kern w:val="0"/>
          <w:sz w:val="24"/>
        </w:rPr>
      </w:pPr>
      <w:r w:rsidRPr="00B7191B">
        <w:rPr>
          <w:bCs/>
          <w:kern w:val="0"/>
          <w:sz w:val="24"/>
        </w:rPr>
        <w:t xml:space="preserve">1. </w:t>
      </w:r>
      <w:r w:rsidRPr="00B7191B">
        <w:rPr>
          <w:rFonts w:hAnsi="宋体"/>
          <w:bCs/>
          <w:kern w:val="0"/>
          <w:sz w:val="24"/>
        </w:rPr>
        <w:t>正文字体为宋体五号，脚注字体为楷体小五号。主标题为黑体二号加粗，副标题为四号楷体不加粗，作者姓名为四号楷体加粗。</w:t>
      </w:r>
      <w:r w:rsidRPr="00B7191B">
        <w:rPr>
          <w:rFonts w:ascii="黑体" w:eastAsia="黑体" w:hAnsi="黑体"/>
          <w:b/>
          <w:bCs/>
          <w:kern w:val="0"/>
          <w:sz w:val="24"/>
        </w:rPr>
        <w:t>[摘  要]</w:t>
      </w:r>
      <w:r w:rsidRPr="00B7191B">
        <w:rPr>
          <w:rFonts w:hAnsi="宋体"/>
          <w:bCs/>
          <w:kern w:val="0"/>
          <w:sz w:val="24"/>
        </w:rPr>
        <w:t>和</w:t>
      </w:r>
      <w:r w:rsidRPr="00B7191B">
        <w:rPr>
          <w:rFonts w:ascii="黑体" w:eastAsia="黑体" w:hAnsi="黑体"/>
          <w:b/>
          <w:bCs/>
          <w:kern w:val="0"/>
          <w:sz w:val="24"/>
        </w:rPr>
        <w:t>[关键词]</w:t>
      </w:r>
      <w:r w:rsidRPr="00B7191B">
        <w:rPr>
          <w:rFonts w:hAnsi="宋体"/>
          <w:bCs/>
          <w:kern w:val="0"/>
          <w:sz w:val="24"/>
        </w:rPr>
        <w:t>为黑体五号加粗，注意</w:t>
      </w:r>
      <w:r w:rsidRPr="00B7191B">
        <w:rPr>
          <w:rFonts w:ascii="黑体" w:eastAsia="黑体" w:hAnsi="黑体"/>
          <w:b/>
          <w:bCs/>
          <w:kern w:val="0"/>
          <w:sz w:val="24"/>
        </w:rPr>
        <w:t>[摘  要]</w:t>
      </w:r>
      <w:r w:rsidRPr="00B7191B">
        <w:rPr>
          <w:rFonts w:hAnsi="宋体"/>
          <w:bCs/>
          <w:kern w:val="0"/>
          <w:sz w:val="24"/>
        </w:rPr>
        <w:t>两个字中间要留</w:t>
      </w:r>
      <w:r w:rsidRPr="00B7191B">
        <w:rPr>
          <w:bCs/>
          <w:kern w:val="0"/>
          <w:sz w:val="24"/>
        </w:rPr>
        <w:t>2</w:t>
      </w:r>
      <w:r w:rsidRPr="00B7191B">
        <w:rPr>
          <w:rFonts w:hAnsi="宋体"/>
          <w:bCs/>
          <w:kern w:val="0"/>
          <w:sz w:val="24"/>
        </w:rPr>
        <w:t>个空格，</w:t>
      </w:r>
      <w:r w:rsidRPr="00B7191B">
        <w:rPr>
          <w:rFonts w:ascii="黑体" w:eastAsia="黑体" w:hAnsi="黑体"/>
          <w:b/>
          <w:bCs/>
          <w:kern w:val="0"/>
          <w:sz w:val="24"/>
        </w:rPr>
        <w:t>[摘  要]</w:t>
      </w:r>
      <w:r w:rsidRPr="00B7191B">
        <w:rPr>
          <w:rFonts w:hAnsi="宋体"/>
          <w:bCs/>
          <w:kern w:val="0"/>
          <w:sz w:val="24"/>
        </w:rPr>
        <w:t>和</w:t>
      </w:r>
      <w:r w:rsidRPr="00B7191B">
        <w:rPr>
          <w:rFonts w:ascii="黑体" w:eastAsia="黑体" w:hAnsi="黑体"/>
          <w:b/>
          <w:bCs/>
          <w:kern w:val="0"/>
          <w:sz w:val="24"/>
        </w:rPr>
        <w:t>[关键词]</w:t>
      </w:r>
      <w:r w:rsidRPr="00B7191B">
        <w:rPr>
          <w:rFonts w:hAnsi="宋体"/>
          <w:bCs/>
          <w:kern w:val="0"/>
          <w:sz w:val="24"/>
        </w:rPr>
        <w:t>之前要留</w:t>
      </w:r>
      <w:r w:rsidRPr="00B7191B">
        <w:rPr>
          <w:bCs/>
          <w:kern w:val="0"/>
          <w:sz w:val="24"/>
        </w:rPr>
        <w:t>4</w:t>
      </w:r>
      <w:r w:rsidRPr="00B7191B">
        <w:rPr>
          <w:rFonts w:hAnsi="宋体"/>
          <w:bCs/>
          <w:kern w:val="0"/>
          <w:sz w:val="24"/>
        </w:rPr>
        <w:t>个空格，之后要留</w:t>
      </w:r>
      <w:r w:rsidRPr="00B7191B">
        <w:rPr>
          <w:bCs/>
          <w:kern w:val="0"/>
          <w:sz w:val="24"/>
        </w:rPr>
        <w:t>2</w:t>
      </w:r>
      <w:r w:rsidRPr="00B7191B">
        <w:rPr>
          <w:rFonts w:hAnsi="宋体"/>
          <w:bCs/>
          <w:kern w:val="0"/>
          <w:sz w:val="24"/>
        </w:rPr>
        <w:t>个空格。</w:t>
      </w:r>
      <w:r w:rsidRPr="00B7191B">
        <w:rPr>
          <w:rFonts w:ascii="黑体" w:eastAsia="黑体" w:hAnsi="黑体"/>
          <w:b/>
          <w:bCs/>
          <w:kern w:val="0"/>
          <w:sz w:val="24"/>
        </w:rPr>
        <w:t>[摘  要]</w:t>
      </w:r>
      <w:r w:rsidRPr="00B7191B">
        <w:rPr>
          <w:rFonts w:hAnsi="宋体"/>
          <w:bCs/>
          <w:kern w:val="0"/>
          <w:sz w:val="24"/>
        </w:rPr>
        <w:t>和</w:t>
      </w:r>
      <w:r w:rsidRPr="00B7191B">
        <w:rPr>
          <w:rFonts w:ascii="黑体" w:eastAsia="黑体" w:hAnsi="黑体"/>
          <w:b/>
          <w:bCs/>
          <w:kern w:val="0"/>
          <w:sz w:val="24"/>
        </w:rPr>
        <w:t>[关键词]</w:t>
      </w:r>
      <w:r w:rsidRPr="00B7191B">
        <w:rPr>
          <w:rFonts w:hAnsi="宋体"/>
          <w:bCs/>
          <w:kern w:val="0"/>
          <w:sz w:val="24"/>
        </w:rPr>
        <w:t>的内容为楷体五号不加粗。一级标题（一、）为黑体小四加粗，二级标题（（一））为黑体五号加粗，其他标题（阿拉伯数字等）的字体字号与正文相同。</w:t>
      </w:r>
    </w:p>
    <w:p w:rsidR="00BD38BB" w:rsidRPr="00B7191B" w:rsidRDefault="00BD38BB" w:rsidP="00BD38BB">
      <w:pPr>
        <w:spacing w:line="360" w:lineRule="auto"/>
        <w:ind w:firstLineChars="200" w:firstLine="480"/>
        <w:jc w:val="left"/>
        <w:rPr>
          <w:kern w:val="0"/>
          <w:sz w:val="24"/>
        </w:rPr>
      </w:pPr>
      <w:r w:rsidRPr="00B7191B">
        <w:rPr>
          <w:rFonts w:hint="eastAsia"/>
          <w:bCs/>
          <w:kern w:val="0"/>
          <w:sz w:val="24"/>
        </w:rPr>
        <w:t>2</w:t>
      </w:r>
      <w:r w:rsidRPr="00B7191B">
        <w:rPr>
          <w:bCs/>
          <w:kern w:val="0"/>
          <w:sz w:val="24"/>
        </w:rPr>
        <w:t xml:space="preserve">. </w:t>
      </w:r>
      <w:r w:rsidRPr="00B7191B">
        <w:rPr>
          <w:rFonts w:hint="eastAsia"/>
          <w:bCs/>
          <w:kern w:val="0"/>
          <w:sz w:val="24"/>
        </w:rPr>
        <w:t>各个</w:t>
      </w:r>
      <w:r w:rsidRPr="00B7191B">
        <w:rPr>
          <w:rFonts w:hAnsi="宋体"/>
          <w:bCs/>
          <w:kern w:val="0"/>
          <w:sz w:val="24"/>
        </w:rPr>
        <w:t>关键词之间隔</w:t>
      </w:r>
      <w:r w:rsidRPr="00B7191B">
        <w:rPr>
          <w:bCs/>
          <w:kern w:val="0"/>
          <w:sz w:val="24"/>
        </w:rPr>
        <w:t>2</w:t>
      </w:r>
      <w:r w:rsidRPr="00B7191B">
        <w:rPr>
          <w:rFonts w:hAnsi="宋体"/>
          <w:bCs/>
          <w:kern w:val="0"/>
          <w:sz w:val="24"/>
        </w:rPr>
        <w:t>个空格，不</w:t>
      </w:r>
      <w:r w:rsidRPr="00B7191B">
        <w:rPr>
          <w:rFonts w:hAnsi="宋体" w:hint="eastAsia"/>
          <w:bCs/>
          <w:kern w:val="0"/>
          <w:sz w:val="24"/>
        </w:rPr>
        <w:t>使用</w:t>
      </w:r>
      <w:r w:rsidRPr="00B7191B">
        <w:rPr>
          <w:rFonts w:hAnsi="宋体"/>
          <w:bCs/>
          <w:kern w:val="0"/>
          <w:sz w:val="24"/>
        </w:rPr>
        <w:t>分号</w:t>
      </w:r>
      <w:r w:rsidRPr="00B7191B">
        <w:rPr>
          <w:rFonts w:hAnsi="宋体" w:hint="eastAsia"/>
          <w:bCs/>
          <w:kern w:val="0"/>
          <w:sz w:val="24"/>
        </w:rPr>
        <w:t>。</w:t>
      </w:r>
    </w:p>
    <w:p w:rsidR="00BD38BB" w:rsidRPr="00B7191B" w:rsidRDefault="00BD38BB" w:rsidP="00BD38BB">
      <w:pPr>
        <w:spacing w:line="360" w:lineRule="auto"/>
        <w:ind w:firstLineChars="200" w:firstLine="480"/>
        <w:jc w:val="left"/>
        <w:rPr>
          <w:kern w:val="0"/>
          <w:sz w:val="24"/>
        </w:rPr>
      </w:pPr>
      <w:r w:rsidRPr="00B7191B">
        <w:rPr>
          <w:rFonts w:hint="eastAsia"/>
          <w:bCs/>
          <w:kern w:val="0"/>
          <w:sz w:val="24"/>
        </w:rPr>
        <w:t>3</w:t>
      </w:r>
      <w:r w:rsidRPr="00B7191B">
        <w:rPr>
          <w:bCs/>
          <w:kern w:val="0"/>
          <w:sz w:val="24"/>
        </w:rPr>
        <w:t xml:space="preserve">. </w:t>
      </w:r>
      <w:r w:rsidRPr="00B7191B">
        <w:rPr>
          <w:rFonts w:hAnsi="宋体"/>
          <w:b/>
          <w:kern w:val="0"/>
          <w:sz w:val="24"/>
        </w:rPr>
        <w:t>正文和脚注中的阿拉伯数字、英文统一使用</w:t>
      </w:r>
      <w:r w:rsidRPr="00B7191B">
        <w:rPr>
          <w:rFonts w:ascii="宋体" w:hAnsi="宋体"/>
          <w:b/>
          <w:kern w:val="0"/>
          <w:sz w:val="24"/>
        </w:rPr>
        <w:t>“</w:t>
      </w:r>
      <w:r w:rsidRPr="00B7191B">
        <w:rPr>
          <w:b/>
          <w:kern w:val="0"/>
          <w:sz w:val="24"/>
        </w:rPr>
        <w:t>Times</w:t>
      </w:r>
      <w:r w:rsidRPr="00B7191B">
        <w:rPr>
          <w:rFonts w:hint="eastAsia"/>
          <w:b/>
          <w:kern w:val="0"/>
          <w:sz w:val="24"/>
        </w:rPr>
        <w:t xml:space="preserve"> </w:t>
      </w:r>
      <w:r w:rsidRPr="00B7191B">
        <w:rPr>
          <w:b/>
          <w:kern w:val="0"/>
          <w:sz w:val="24"/>
        </w:rPr>
        <w:t>New</w:t>
      </w:r>
      <w:r w:rsidRPr="00B7191B">
        <w:rPr>
          <w:rFonts w:hint="eastAsia"/>
          <w:b/>
          <w:kern w:val="0"/>
          <w:sz w:val="24"/>
        </w:rPr>
        <w:t xml:space="preserve"> </w:t>
      </w:r>
      <w:r w:rsidRPr="00B7191B">
        <w:rPr>
          <w:b/>
          <w:kern w:val="0"/>
          <w:sz w:val="24"/>
        </w:rPr>
        <w:t>Roman</w:t>
      </w:r>
      <w:r w:rsidRPr="00B7191B">
        <w:rPr>
          <w:rFonts w:hint="eastAsia"/>
          <w:b/>
          <w:kern w:val="0"/>
          <w:sz w:val="24"/>
        </w:rPr>
        <w:t>”</w:t>
      </w:r>
      <w:r w:rsidRPr="00B7191B">
        <w:rPr>
          <w:rFonts w:hAnsi="宋体"/>
          <w:b/>
          <w:kern w:val="0"/>
          <w:sz w:val="24"/>
        </w:rPr>
        <w:t>字体</w:t>
      </w:r>
      <w:r w:rsidRPr="00B7191B">
        <w:rPr>
          <w:rFonts w:hAnsi="宋体" w:hint="eastAsia"/>
          <w:b/>
          <w:kern w:val="0"/>
          <w:sz w:val="24"/>
        </w:rPr>
        <w:t>。</w:t>
      </w:r>
    </w:p>
    <w:p w:rsidR="00BD38BB" w:rsidRPr="00B7191B" w:rsidRDefault="00BD38BB" w:rsidP="00BD38BB">
      <w:pPr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</w:rPr>
      </w:pPr>
      <w:r w:rsidRPr="00B7191B">
        <w:rPr>
          <w:rFonts w:hint="eastAsia"/>
          <w:bCs/>
          <w:kern w:val="0"/>
          <w:sz w:val="24"/>
        </w:rPr>
        <w:t>4</w:t>
      </w:r>
      <w:r w:rsidRPr="00B7191B">
        <w:rPr>
          <w:bCs/>
          <w:kern w:val="0"/>
          <w:sz w:val="24"/>
        </w:rPr>
        <w:t xml:space="preserve">. </w:t>
      </w:r>
      <w:r w:rsidRPr="00B7191B">
        <w:rPr>
          <w:rFonts w:hAnsi="宋体"/>
          <w:bCs/>
          <w:kern w:val="0"/>
          <w:sz w:val="24"/>
        </w:rPr>
        <w:t>图</w:t>
      </w:r>
      <w:r w:rsidRPr="00B7191B">
        <w:rPr>
          <w:rFonts w:hAnsi="宋体" w:hint="eastAsia"/>
          <w:bCs/>
          <w:kern w:val="0"/>
          <w:sz w:val="24"/>
        </w:rPr>
        <w:t>和</w:t>
      </w:r>
      <w:r w:rsidRPr="00B7191B">
        <w:rPr>
          <w:rFonts w:hAnsi="宋体"/>
          <w:bCs/>
          <w:kern w:val="0"/>
          <w:sz w:val="24"/>
        </w:rPr>
        <w:t>表</w:t>
      </w:r>
      <w:r w:rsidRPr="00B7191B">
        <w:rPr>
          <w:rFonts w:hAnsi="宋体" w:hint="eastAsia"/>
          <w:bCs/>
          <w:kern w:val="0"/>
          <w:sz w:val="24"/>
        </w:rPr>
        <w:t>的标题</w:t>
      </w:r>
      <w:r w:rsidRPr="00B7191B">
        <w:rPr>
          <w:rFonts w:hAnsi="宋体"/>
          <w:bCs/>
          <w:kern w:val="0"/>
          <w:sz w:val="24"/>
        </w:rPr>
        <w:t>格式</w:t>
      </w:r>
      <w:r w:rsidRPr="00B7191B">
        <w:rPr>
          <w:rFonts w:hAnsi="宋体" w:hint="eastAsia"/>
          <w:bCs/>
          <w:kern w:val="0"/>
          <w:sz w:val="24"/>
        </w:rPr>
        <w:t>为：</w:t>
      </w:r>
      <w:r w:rsidRPr="00B7191B">
        <w:rPr>
          <w:rFonts w:ascii="宋体" w:hAnsi="宋体"/>
          <w:bCs/>
          <w:kern w:val="0"/>
          <w:sz w:val="24"/>
        </w:rPr>
        <w:t>“</w:t>
      </w:r>
      <w:r w:rsidRPr="00B7191B">
        <w:rPr>
          <w:rFonts w:ascii="宋体" w:hAnsi="宋体"/>
          <w:bCs/>
          <w:kern w:val="0"/>
          <w:sz w:val="24"/>
        </w:rPr>
        <w:t>图一（隔</w:t>
      </w:r>
      <w:r w:rsidRPr="00B7191B">
        <w:rPr>
          <w:rFonts w:ascii="宋体" w:hAnsi="宋体"/>
          <w:bCs/>
          <w:kern w:val="0"/>
          <w:sz w:val="24"/>
        </w:rPr>
        <w:t>2</w:t>
      </w:r>
      <w:r w:rsidRPr="00B7191B">
        <w:rPr>
          <w:rFonts w:ascii="宋体" w:hAnsi="宋体"/>
          <w:bCs/>
          <w:kern w:val="0"/>
          <w:sz w:val="24"/>
        </w:rPr>
        <w:t>个空格）标题</w:t>
      </w:r>
      <w:r w:rsidRPr="00B7191B">
        <w:rPr>
          <w:rFonts w:ascii="宋体" w:hAnsi="宋体"/>
          <w:bCs/>
          <w:kern w:val="0"/>
          <w:sz w:val="24"/>
        </w:rPr>
        <w:t>”</w:t>
      </w:r>
      <w:r w:rsidRPr="00B7191B">
        <w:rPr>
          <w:rFonts w:ascii="宋体" w:hAnsi="宋体"/>
          <w:bCs/>
          <w:kern w:val="0"/>
          <w:sz w:val="24"/>
        </w:rPr>
        <w:t>、</w:t>
      </w:r>
      <w:r w:rsidRPr="00B7191B">
        <w:rPr>
          <w:rFonts w:ascii="宋体" w:hAnsi="宋体"/>
          <w:bCs/>
          <w:kern w:val="0"/>
          <w:sz w:val="24"/>
        </w:rPr>
        <w:t>“</w:t>
      </w:r>
      <w:r w:rsidRPr="00B7191B">
        <w:rPr>
          <w:rFonts w:ascii="宋体" w:hAnsi="宋体"/>
          <w:bCs/>
          <w:kern w:val="0"/>
          <w:sz w:val="24"/>
        </w:rPr>
        <w:t>表一</w:t>
      </w:r>
      <w:r w:rsidRPr="00B7191B">
        <w:rPr>
          <w:rFonts w:ascii="宋体" w:hAnsi="宋体" w:hint="eastAsia"/>
          <w:bCs/>
          <w:kern w:val="0"/>
          <w:sz w:val="24"/>
        </w:rPr>
        <w:t xml:space="preserve">  </w:t>
      </w:r>
      <w:r w:rsidRPr="00B7191B">
        <w:rPr>
          <w:rFonts w:ascii="宋体" w:hAnsi="宋体"/>
          <w:bCs/>
          <w:kern w:val="0"/>
          <w:sz w:val="24"/>
        </w:rPr>
        <w:t>标题</w:t>
      </w:r>
      <w:r w:rsidRPr="00B7191B">
        <w:rPr>
          <w:rFonts w:ascii="宋体" w:hAnsi="宋体"/>
          <w:bCs/>
          <w:kern w:val="0"/>
          <w:sz w:val="24"/>
        </w:rPr>
        <w:t>”</w:t>
      </w:r>
      <w:r w:rsidRPr="00B7191B">
        <w:rPr>
          <w:rFonts w:hAnsi="宋体"/>
          <w:bCs/>
          <w:kern w:val="0"/>
          <w:sz w:val="24"/>
        </w:rPr>
        <w:t>（</w:t>
      </w:r>
      <w:r w:rsidRPr="00B7191B">
        <w:rPr>
          <w:rFonts w:hAnsi="宋体" w:hint="eastAsia"/>
          <w:bCs/>
          <w:kern w:val="0"/>
          <w:sz w:val="24"/>
        </w:rPr>
        <w:t>序号采用汉字</w:t>
      </w:r>
      <w:r w:rsidRPr="00B7191B">
        <w:rPr>
          <w:rFonts w:hAnsi="宋体"/>
          <w:bCs/>
          <w:kern w:val="0"/>
          <w:sz w:val="24"/>
        </w:rPr>
        <w:t>不是阿拉伯数字），并</w:t>
      </w:r>
      <w:r w:rsidRPr="00B7191B">
        <w:rPr>
          <w:rFonts w:hAnsi="宋体" w:hint="eastAsia"/>
          <w:bCs/>
          <w:kern w:val="0"/>
          <w:sz w:val="24"/>
        </w:rPr>
        <w:t>统一</w:t>
      </w:r>
      <w:r w:rsidRPr="00B7191B">
        <w:rPr>
          <w:rFonts w:hAnsi="宋体"/>
          <w:bCs/>
          <w:kern w:val="0"/>
          <w:sz w:val="24"/>
        </w:rPr>
        <w:t>置于图表上方</w:t>
      </w:r>
      <w:r w:rsidRPr="00B7191B">
        <w:rPr>
          <w:rFonts w:hAnsi="宋体" w:hint="eastAsia"/>
          <w:bCs/>
          <w:kern w:val="0"/>
          <w:sz w:val="24"/>
        </w:rPr>
        <w:t>。</w:t>
      </w:r>
    </w:p>
    <w:p w:rsidR="00BD38BB" w:rsidRPr="00B7191B" w:rsidRDefault="00BD38BB" w:rsidP="00BD38BB">
      <w:pPr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</w:rPr>
      </w:pPr>
      <w:r w:rsidRPr="00B7191B">
        <w:rPr>
          <w:rFonts w:hAnsi="宋体" w:hint="eastAsia"/>
          <w:bCs/>
          <w:kern w:val="0"/>
          <w:sz w:val="24"/>
        </w:rPr>
        <w:t xml:space="preserve">5. </w:t>
      </w:r>
      <w:r w:rsidRPr="00B7191B">
        <w:rPr>
          <w:rFonts w:hAnsi="宋体" w:hint="eastAsia"/>
          <w:bCs/>
          <w:kern w:val="0"/>
          <w:sz w:val="24"/>
        </w:rPr>
        <w:t>引文标号原则上统一置于引文最后一个标点的后面，除非是对某个名词或术语进行解释。直接引用的文献作为句子的一部分时，引文的句末标点原则上置于后引号之外，只有在冒号加双引号或者与双引号相邻的两个标点为句终标点（句号、问号或叹号）时，句末标点才置于后引号之内。（见例证）</w:t>
      </w:r>
    </w:p>
    <w:p w:rsidR="00BD38BB" w:rsidRPr="00B7191B" w:rsidRDefault="00BD38BB" w:rsidP="00BD38BB">
      <w:pPr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</w:rPr>
      </w:pPr>
      <w:r w:rsidRPr="00B7191B">
        <w:rPr>
          <w:rFonts w:hAnsi="宋体" w:hint="eastAsia"/>
          <w:bCs/>
          <w:kern w:val="0"/>
          <w:sz w:val="24"/>
        </w:rPr>
        <w:t xml:space="preserve">6. </w:t>
      </w:r>
      <w:r w:rsidRPr="00B7191B">
        <w:rPr>
          <w:rFonts w:hAnsi="宋体"/>
          <w:bCs/>
          <w:kern w:val="0"/>
          <w:sz w:val="24"/>
        </w:rPr>
        <w:t>慎重修改直接引用的内容，</w:t>
      </w:r>
      <w:r w:rsidRPr="00B7191B">
        <w:rPr>
          <w:rFonts w:hAnsi="宋体" w:hint="eastAsia"/>
          <w:bCs/>
          <w:kern w:val="0"/>
          <w:sz w:val="24"/>
        </w:rPr>
        <w:t>更</w:t>
      </w:r>
      <w:r w:rsidRPr="00B7191B">
        <w:rPr>
          <w:rFonts w:hAnsi="宋体"/>
          <w:bCs/>
          <w:kern w:val="0"/>
          <w:sz w:val="24"/>
        </w:rPr>
        <w:t>不要贸然将间接引用直接加引号变成直接引用，</w:t>
      </w:r>
      <w:r w:rsidRPr="00B7191B">
        <w:rPr>
          <w:rFonts w:hAnsi="宋体" w:hint="eastAsia"/>
          <w:bCs/>
          <w:kern w:val="0"/>
          <w:sz w:val="24"/>
        </w:rPr>
        <w:t>除非核对</w:t>
      </w:r>
      <w:r w:rsidRPr="00B7191B">
        <w:rPr>
          <w:rFonts w:hAnsi="宋体"/>
          <w:bCs/>
          <w:kern w:val="0"/>
          <w:sz w:val="24"/>
        </w:rPr>
        <w:t>过原文；如不确定，</w:t>
      </w:r>
      <w:r w:rsidRPr="00B7191B">
        <w:rPr>
          <w:rFonts w:hAnsi="宋体" w:hint="eastAsia"/>
          <w:bCs/>
          <w:kern w:val="0"/>
          <w:sz w:val="24"/>
        </w:rPr>
        <w:t>可以</w:t>
      </w:r>
      <w:r w:rsidRPr="00B7191B">
        <w:rPr>
          <w:rFonts w:hAnsi="宋体"/>
          <w:bCs/>
          <w:kern w:val="0"/>
          <w:sz w:val="24"/>
        </w:rPr>
        <w:t>变成间接引用，</w:t>
      </w:r>
      <w:r w:rsidRPr="00B7191B">
        <w:rPr>
          <w:rFonts w:hAnsi="宋体" w:hint="eastAsia"/>
          <w:bCs/>
          <w:kern w:val="0"/>
          <w:sz w:val="24"/>
        </w:rPr>
        <w:t>加</w:t>
      </w:r>
      <w:r w:rsidRPr="00B7191B">
        <w:rPr>
          <w:rFonts w:hAnsi="宋体"/>
          <w:bCs/>
          <w:kern w:val="0"/>
          <w:sz w:val="24"/>
        </w:rPr>
        <w:t>“</w:t>
      </w:r>
      <w:r w:rsidRPr="00B7191B">
        <w:rPr>
          <w:rFonts w:hAnsi="宋体" w:hint="eastAsia"/>
          <w:bCs/>
          <w:kern w:val="0"/>
          <w:sz w:val="24"/>
        </w:rPr>
        <w:t>参见</w:t>
      </w:r>
      <w:r w:rsidRPr="00B7191B">
        <w:rPr>
          <w:rFonts w:hAnsi="宋体"/>
          <w:bCs/>
          <w:kern w:val="0"/>
          <w:sz w:val="24"/>
        </w:rPr>
        <w:t>”</w:t>
      </w:r>
      <w:r w:rsidRPr="00B7191B">
        <w:rPr>
          <w:rFonts w:hAnsi="宋体"/>
          <w:bCs/>
          <w:kern w:val="0"/>
          <w:sz w:val="24"/>
        </w:rPr>
        <w:t>。</w:t>
      </w:r>
    </w:p>
    <w:p w:rsidR="00BD38BB" w:rsidRPr="00B7191B" w:rsidRDefault="00BD38BB" w:rsidP="00BD38BB">
      <w:pPr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</w:rPr>
      </w:pPr>
      <w:r w:rsidRPr="00B7191B">
        <w:rPr>
          <w:rFonts w:hAnsi="宋体" w:hint="eastAsia"/>
          <w:bCs/>
          <w:kern w:val="0"/>
          <w:sz w:val="24"/>
        </w:rPr>
        <w:t>7.</w:t>
      </w:r>
      <w:r w:rsidRPr="00B7191B">
        <w:rPr>
          <w:rFonts w:hAnsi="宋体" w:hint="eastAsia"/>
          <w:bCs/>
          <w:kern w:val="0"/>
          <w:sz w:val="24"/>
        </w:rPr>
        <w:t>脚注中引用网址，网址必须放在后面。</w:t>
      </w:r>
    </w:p>
    <w:p w:rsidR="00BD38BB" w:rsidRDefault="00BD38BB" w:rsidP="00BD38BB">
      <w:pPr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</w:rPr>
      </w:pPr>
      <w:r w:rsidRPr="00B7191B">
        <w:rPr>
          <w:rFonts w:hAnsi="宋体" w:hint="eastAsia"/>
          <w:bCs/>
          <w:kern w:val="0"/>
          <w:sz w:val="24"/>
        </w:rPr>
        <w:t>8.</w:t>
      </w:r>
      <w:r w:rsidRPr="00B7191B">
        <w:rPr>
          <w:rFonts w:hAnsi="宋体" w:hint="eastAsia"/>
          <w:bCs/>
          <w:kern w:val="0"/>
          <w:sz w:val="24"/>
        </w:rPr>
        <w:t>英文法典应用斜体，而不是加书名号。</w:t>
      </w:r>
    </w:p>
    <w:p w:rsidR="00BD38BB" w:rsidRDefault="00BD38BB">
      <w:pPr>
        <w:rPr>
          <w:rFonts w:hAnsi="宋体"/>
          <w:bCs/>
          <w:kern w:val="0"/>
          <w:sz w:val="24"/>
        </w:rPr>
      </w:pPr>
      <w:r>
        <w:rPr>
          <w:rFonts w:hAnsi="宋体"/>
          <w:bCs/>
          <w:kern w:val="0"/>
          <w:sz w:val="24"/>
        </w:rPr>
        <w:br w:type="page"/>
      </w:r>
    </w:p>
    <w:p w:rsidR="00A51C0F" w:rsidRDefault="00A51C0F" w:rsidP="00A51C0F">
      <w:pPr>
        <w:spacing w:line="360" w:lineRule="auto"/>
        <w:rPr>
          <w:rFonts w:ascii="黑体" w:eastAsia="黑体" w:hAnsi="黑体" w:hint="eastAsia"/>
          <w:b/>
          <w:sz w:val="24"/>
        </w:rPr>
      </w:pPr>
      <w:r w:rsidRPr="00B7191B">
        <w:rPr>
          <w:rFonts w:ascii="黑体" w:eastAsia="黑体" w:hAnsi="黑体" w:hint="eastAsia"/>
          <w:b/>
          <w:sz w:val="24"/>
        </w:rPr>
        <w:lastRenderedPageBreak/>
        <w:t>附录一：中文注释体例</w:t>
      </w:r>
    </w:p>
    <w:p w:rsidR="00A51C0F" w:rsidRPr="00A51C0F" w:rsidRDefault="00A51C0F" w:rsidP="00A51C0F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A51C0F">
        <w:rPr>
          <w:rFonts w:ascii="黑体" w:eastAsia="黑体" w:hAnsi="黑体" w:hint="eastAsia"/>
          <w:b/>
          <w:sz w:val="28"/>
          <w:szCs w:val="28"/>
        </w:rPr>
        <w:t>中文注释体例</w:t>
      </w:r>
    </w:p>
    <w:p w:rsidR="00A51C0F" w:rsidRPr="00B7191B" w:rsidRDefault="00A51C0F" w:rsidP="00A51C0F">
      <w:pPr>
        <w:spacing w:line="360" w:lineRule="auto"/>
        <w:ind w:firstLineChars="196" w:firstLine="413"/>
        <w:rPr>
          <w:rFonts w:ascii="黑体" w:eastAsia="黑体" w:hAnsi="黑体"/>
          <w:b/>
          <w:szCs w:val="21"/>
        </w:rPr>
      </w:pPr>
      <w:r w:rsidRPr="00B7191B">
        <w:rPr>
          <w:rFonts w:ascii="黑体" w:eastAsia="黑体" w:hAnsi="黑体" w:hint="eastAsia"/>
          <w:b/>
          <w:szCs w:val="21"/>
        </w:rPr>
        <w:t>一、  一般体例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szCs w:val="21"/>
        </w:rPr>
        <w:t xml:space="preserve">1. </w:t>
      </w:r>
      <w:r w:rsidRPr="00B7191B">
        <w:rPr>
          <w:rFonts w:hint="eastAsia"/>
          <w:szCs w:val="21"/>
        </w:rPr>
        <w:t>本刊注释一律采用脚注，每篇文章连续注码，不采每页重新注码；注码样式在收稿时不作要求，以清晰规范且方便作者为原则，在排版时统一采用“〔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〕〔</w:t>
      </w:r>
      <w:r w:rsidRPr="00B7191B">
        <w:rPr>
          <w:szCs w:val="21"/>
        </w:rPr>
        <w:t>2</w:t>
      </w:r>
      <w:r w:rsidRPr="00B7191B">
        <w:rPr>
          <w:rFonts w:hint="eastAsia"/>
          <w:szCs w:val="21"/>
        </w:rPr>
        <w:t>〕〔</w:t>
      </w:r>
      <w:r w:rsidRPr="00B7191B">
        <w:rPr>
          <w:szCs w:val="21"/>
        </w:rPr>
        <w:t>3</w:t>
      </w:r>
      <w:r w:rsidRPr="00B7191B">
        <w:rPr>
          <w:rFonts w:hint="eastAsia"/>
          <w:szCs w:val="21"/>
        </w:rPr>
        <w:t>〕”形式；</w:t>
      </w:r>
      <w:r w:rsidRPr="00B7191B">
        <w:rPr>
          <w:rFonts w:hint="eastAsia"/>
          <w:b/>
          <w:szCs w:val="21"/>
        </w:rPr>
        <w:t>注码置于引文的标点符号后（对句中词语加注者除外）</w:t>
      </w:r>
      <w:r w:rsidRPr="00B7191B">
        <w:rPr>
          <w:rFonts w:hint="eastAsia"/>
          <w:szCs w:val="21"/>
        </w:rPr>
        <w:t>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szCs w:val="21"/>
        </w:rPr>
        <w:t xml:space="preserve">2. </w:t>
      </w:r>
      <w:r w:rsidRPr="00B7191B">
        <w:rPr>
          <w:rFonts w:hint="eastAsia"/>
          <w:szCs w:val="21"/>
        </w:rPr>
        <w:t>正文中直接引用的文献应以双引号注明，间接引用（即“参见”）的文献无须加双引号。引文超过</w:t>
      </w:r>
      <w:r w:rsidRPr="00B7191B">
        <w:rPr>
          <w:szCs w:val="21"/>
        </w:rPr>
        <w:t>100</w:t>
      </w:r>
      <w:r w:rsidRPr="00B7191B">
        <w:rPr>
          <w:rFonts w:hint="eastAsia"/>
          <w:szCs w:val="21"/>
        </w:rPr>
        <w:t>字（字数为</w:t>
      </w:r>
      <w:r w:rsidRPr="00B7191B">
        <w:rPr>
          <w:rFonts w:hint="eastAsia"/>
          <w:szCs w:val="21"/>
        </w:rPr>
        <w:t>3</w:t>
      </w:r>
      <w:r w:rsidRPr="00B7191B">
        <w:rPr>
          <w:rFonts w:hint="eastAsia"/>
          <w:szCs w:val="21"/>
        </w:rPr>
        <w:t>行以上）时，不加注双引号，引文部分重新起段，段落左边缩进</w:t>
      </w:r>
      <w:r w:rsidRPr="00B7191B">
        <w:rPr>
          <w:rFonts w:hint="eastAsia"/>
          <w:szCs w:val="21"/>
        </w:rPr>
        <w:t>2</w:t>
      </w:r>
      <w:r w:rsidRPr="00B7191B">
        <w:rPr>
          <w:rFonts w:hint="eastAsia"/>
          <w:szCs w:val="21"/>
        </w:rPr>
        <w:t>个字符，并使用楷体字予以区分。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szCs w:val="21"/>
        </w:rPr>
        <w:t xml:space="preserve">3. </w:t>
      </w:r>
      <w:r w:rsidRPr="00B7191B">
        <w:rPr>
          <w:rFonts w:hint="eastAsia"/>
          <w:szCs w:val="21"/>
        </w:rPr>
        <w:t>每一个脚注序号之前应留</w:t>
      </w:r>
      <w:r w:rsidRPr="00B7191B">
        <w:rPr>
          <w:rFonts w:hint="eastAsia"/>
          <w:szCs w:val="21"/>
        </w:rPr>
        <w:t>4</w:t>
      </w:r>
      <w:r w:rsidRPr="00B7191B">
        <w:rPr>
          <w:rFonts w:hint="eastAsia"/>
          <w:szCs w:val="21"/>
        </w:rPr>
        <w:t>个</w:t>
      </w:r>
      <w:r w:rsidRPr="00B7191B">
        <w:rPr>
          <w:szCs w:val="21"/>
        </w:rPr>
        <w:t>英文</w:t>
      </w:r>
      <w:r w:rsidRPr="00B7191B">
        <w:rPr>
          <w:rFonts w:hint="eastAsia"/>
          <w:szCs w:val="21"/>
        </w:rPr>
        <w:t>空格（</w:t>
      </w:r>
      <w:r w:rsidRPr="00B7191B">
        <w:rPr>
          <w:rFonts w:hint="eastAsia"/>
          <w:szCs w:val="21"/>
        </w:rPr>
        <w:t>2</w:t>
      </w:r>
      <w:r w:rsidRPr="00B7191B">
        <w:rPr>
          <w:rFonts w:hint="eastAsia"/>
          <w:szCs w:val="21"/>
        </w:rPr>
        <w:t>个</w:t>
      </w:r>
      <w:r w:rsidRPr="00B7191B">
        <w:rPr>
          <w:szCs w:val="21"/>
        </w:rPr>
        <w:t>中文</w:t>
      </w:r>
      <w:r w:rsidRPr="00B7191B">
        <w:rPr>
          <w:rFonts w:hint="eastAsia"/>
          <w:szCs w:val="21"/>
        </w:rPr>
        <w:t>字符），脚注序号与注释内容之间应留</w:t>
      </w:r>
      <w:r w:rsidRPr="00B7191B">
        <w:rPr>
          <w:rFonts w:hint="eastAsia"/>
          <w:szCs w:val="21"/>
        </w:rPr>
        <w:t>2</w:t>
      </w:r>
      <w:r w:rsidRPr="00B7191B">
        <w:rPr>
          <w:rFonts w:hint="eastAsia"/>
          <w:szCs w:val="21"/>
        </w:rPr>
        <w:t>个</w:t>
      </w:r>
      <w:r w:rsidRPr="00B7191B">
        <w:rPr>
          <w:szCs w:val="21"/>
        </w:rPr>
        <w:t>英文</w:t>
      </w:r>
      <w:r w:rsidRPr="00B7191B">
        <w:rPr>
          <w:rFonts w:hint="eastAsia"/>
          <w:szCs w:val="21"/>
        </w:rPr>
        <w:t>空格（</w:t>
      </w:r>
      <w:r w:rsidRPr="00B7191B">
        <w:rPr>
          <w:rFonts w:hint="eastAsia"/>
          <w:szCs w:val="21"/>
        </w:rPr>
        <w:t>1</w:t>
      </w:r>
      <w:r w:rsidRPr="00B7191B">
        <w:rPr>
          <w:rFonts w:hint="eastAsia"/>
          <w:szCs w:val="21"/>
        </w:rPr>
        <w:t>个</w:t>
      </w:r>
      <w:r w:rsidRPr="00B7191B">
        <w:rPr>
          <w:szCs w:val="21"/>
        </w:rPr>
        <w:t>中文</w:t>
      </w:r>
      <w:r w:rsidRPr="00B7191B">
        <w:rPr>
          <w:rFonts w:hint="eastAsia"/>
          <w:szCs w:val="21"/>
        </w:rPr>
        <w:t>字符），脚注末尾须加句号。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szCs w:val="21"/>
        </w:rPr>
        <w:t>4.</w:t>
      </w:r>
      <w:r w:rsidRPr="00B7191B">
        <w:rPr>
          <w:rFonts w:hint="eastAsia"/>
          <w:szCs w:val="21"/>
        </w:rPr>
        <w:t xml:space="preserve"> </w:t>
      </w:r>
      <w:r w:rsidRPr="00B7191B">
        <w:rPr>
          <w:rFonts w:hint="eastAsia"/>
          <w:szCs w:val="21"/>
        </w:rPr>
        <w:t>若注释中重复出现同一文献，则相关脚注应分别标明该文献的完整信息，</w:t>
      </w:r>
      <w:r w:rsidRPr="00B7191B">
        <w:rPr>
          <w:rFonts w:hint="eastAsia"/>
          <w:b/>
          <w:szCs w:val="21"/>
        </w:rPr>
        <w:t>不采用“</w:t>
      </w:r>
      <w:r w:rsidRPr="00B7191B">
        <w:rPr>
          <w:b/>
          <w:szCs w:val="21"/>
        </w:rPr>
        <w:t>同</w:t>
      </w:r>
      <w:r w:rsidRPr="00B7191B">
        <w:rPr>
          <w:rFonts w:hint="eastAsia"/>
          <w:b/>
          <w:szCs w:val="21"/>
        </w:rPr>
        <w:t>前注”</w:t>
      </w:r>
      <w:r w:rsidRPr="00B7191B">
        <w:rPr>
          <w:b/>
          <w:szCs w:val="21"/>
        </w:rPr>
        <w:t>和</w:t>
      </w:r>
      <w:r w:rsidRPr="00B7191B">
        <w:rPr>
          <w:rFonts w:hint="eastAsia"/>
          <w:b/>
          <w:szCs w:val="21"/>
        </w:rPr>
        <w:t>“</w:t>
      </w:r>
      <w:r w:rsidRPr="00B7191B">
        <w:rPr>
          <w:b/>
          <w:szCs w:val="21"/>
        </w:rPr>
        <w:t>同</w:t>
      </w:r>
      <w:r w:rsidRPr="00B7191B">
        <w:rPr>
          <w:rFonts w:hint="eastAsia"/>
          <w:b/>
          <w:szCs w:val="21"/>
        </w:rPr>
        <w:t>上注”</w:t>
      </w:r>
      <w:r w:rsidRPr="00B7191B">
        <w:rPr>
          <w:b/>
          <w:szCs w:val="21"/>
        </w:rPr>
        <w:t>的引注</w:t>
      </w:r>
      <w:r w:rsidRPr="00B7191B">
        <w:rPr>
          <w:rFonts w:hint="eastAsia"/>
          <w:b/>
          <w:szCs w:val="21"/>
        </w:rPr>
        <w:t>方式</w:t>
      </w:r>
      <w:r w:rsidRPr="00B7191B">
        <w:rPr>
          <w:rFonts w:hint="eastAsia"/>
          <w:szCs w:val="21"/>
        </w:rPr>
        <w:t>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szCs w:val="21"/>
        </w:rPr>
        <w:t xml:space="preserve">5. </w:t>
      </w:r>
      <w:r w:rsidRPr="00B7191B">
        <w:rPr>
          <w:rFonts w:hint="eastAsia"/>
          <w:szCs w:val="21"/>
        </w:rPr>
        <w:t>注释中引文页码采“第</w:t>
      </w:r>
      <w:r w:rsidRPr="00B7191B">
        <w:rPr>
          <w:szCs w:val="21"/>
        </w:rPr>
        <w:t>X</w:t>
      </w:r>
      <w:r w:rsidRPr="00B7191B">
        <w:rPr>
          <w:rFonts w:hint="eastAsia"/>
          <w:szCs w:val="21"/>
        </w:rPr>
        <w:t>页”形式，涉及连续多页的采“第</w:t>
      </w:r>
      <w:r w:rsidRPr="00B7191B">
        <w:rPr>
          <w:szCs w:val="21"/>
        </w:rPr>
        <w:t>X</w:t>
      </w:r>
      <w:r w:rsidRPr="00B7191B">
        <w:rPr>
          <w:rFonts w:hint="eastAsia"/>
          <w:szCs w:val="21"/>
        </w:rPr>
        <w:t>~</w:t>
      </w:r>
      <w:r w:rsidRPr="00B7191B">
        <w:rPr>
          <w:szCs w:val="21"/>
        </w:rPr>
        <w:t>X</w:t>
      </w:r>
      <w:r w:rsidRPr="00B7191B">
        <w:rPr>
          <w:rFonts w:hint="eastAsia"/>
          <w:szCs w:val="21"/>
        </w:rPr>
        <w:t>页”的形式，涉及多页但不连续的采“第</w:t>
      </w:r>
      <w:r w:rsidRPr="00B7191B">
        <w:rPr>
          <w:szCs w:val="21"/>
        </w:rPr>
        <w:t>X</w:t>
      </w:r>
      <w:r w:rsidRPr="00B7191B">
        <w:rPr>
          <w:rFonts w:hint="eastAsia"/>
          <w:szCs w:val="21"/>
        </w:rPr>
        <w:t>、</w:t>
      </w:r>
      <w:r w:rsidRPr="00B7191B">
        <w:rPr>
          <w:szCs w:val="21"/>
        </w:rPr>
        <w:t>X</w:t>
      </w:r>
      <w:r w:rsidRPr="00B7191B">
        <w:rPr>
          <w:rFonts w:hint="eastAsia"/>
          <w:szCs w:val="21"/>
        </w:rPr>
        <w:t>、</w:t>
      </w:r>
      <w:r w:rsidRPr="00B7191B">
        <w:rPr>
          <w:szCs w:val="21"/>
        </w:rPr>
        <w:t>X</w:t>
      </w:r>
      <w:r w:rsidRPr="00B7191B">
        <w:rPr>
          <w:rFonts w:hint="eastAsia"/>
          <w:szCs w:val="21"/>
        </w:rPr>
        <w:t>页”的形式。（</w:t>
      </w:r>
      <w:r w:rsidRPr="00B7191B">
        <w:rPr>
          <w:rFonts w:hint="eastAsia"/>
          <w:b/>
          <w:szCs w:val="21"/>
        </w:rPr>
        <w:t>注：波浪线是</w:t>
      </w:r>
      <w:r w:rsidRPr="00B7191B">
        <w:rPr>
          <w:rFonts w:hint="eastAsia"/>
          <w:b/>
          <w:szCs w:val="21"/>
        </w:rPr>
        <w:t>Times New Roman</w:t>
      </w:r>
      <w:r w:rsidRPr="00B7191B">
        <w:rPr>
          <w:rFonts w:hint="eastAsia"/>
          <w:b/>
          <w:szCs w:val="21"/>
        </w:rPr>
        <w:t>字体下的半角字符</w:t>
      </w:r>
      <w:r w:rsidRPr="00B7191B">
        <w:rPr>
          <w:b/>
          <w:szCs w:val="21"/>
        </w:rPr>
        <w:t>。</w:t>
      </w:r>
      <w:r w:rsidRPr="00B7191B">
        <w:rPr>
          <w:rFonts w:hint="eastAsia"/>
          <w:szCs w:val="21"/>
        </w:rPr>
        <w:t>）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szCs w:val="21"/>
        </w:rPr>
        <w:t xml:space="preserve">6. </w:t>
      </w:r>
      <w:r w:rsidRPr="00B7191B">
        <w:rPr>
          <w:rFonts w:hint="eastAsia"/>
          <w:szCs w:val="21"/>
        </w:rPr>
        <w:t>注释中引用的论文名用双引号标示，著作名用书名号标示。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szCs w:val="21"/>
        </w:rPr>
        <w:t xml:space="preserve">7. </w:t>
      </w:r>
      <w:r w:rsidRPr="00B7191B">
        <w:rPr>
          <w:rFonts w:hint="eastAsia"/>
          <w:szCs w:val="21"/>
        </w:rPr>
        <w:t>注释中若引文的责任者（包括作者、译者和校者）为两人，责任者之间需用顿号隔开；如责任者为三人（含三人）以上，只注明第一责任人，但应于第一责任人后加“等”字。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szCs w:val="21"/>
        </w:rPr>
        <w:t xml:space="preserve">8. </w:t>
      </w:r>
      <w:r w:rsidRPr="00B7191B">
        <w:rPr>
          <w:rFonts w:hint="eastAsia"/>
          <w:szCs w:val="21"/>
        </w:rPr>
        <w:t>引用法条或司法解释时，</w:t>
      </w:r>
      <w:r w:rsidRPr="00B7191B">
        <w:rPr>
          <w:rFonts w:hint="eastAsia"/>
          <w:b/>
          <w:szCs w:val="21"/>
        </w:rPr>
        <w:t>法条或司法解释的编号统一使用阿拉伯数字</w:t>
      </w:r>
      <w:r w:rsidRPr="00B7191B">
        <w:rPr>
          <w:rFonts w:hint="eastAsia"/>
          <w:szCs w:val="21"/>
        </w:rPr>
        <w:t>，如“《物权法》第</w:t>
      </w:r>
      <w:r w:rsidRPr="00B7191B">
        <w:rPr>
          <w:rFonts w:hint="eastAsia"/>
          <w:szCs w:val="21"/>
        </w:rPr>
        <w:t>8</w:t>
      </w:r>
      <w:r w:rsidRPr="00B7191B">
        <w:rPr>
          <w:rFonts w:hint="eastAsia"/>
          <w:szCs w:val="21"/>
        </w:rPr>
        <w:t>条”、“《最高人民法院关于贯彻执行</w:t>
      </w:r>
      <w:r w:rsidRPr="00B7191B">
        <w:rPr>
          <w:rFonts w:hint="eastAsia"/>
          <w:szCs w:val="21"/>
        </w:rPr>
        <w:t>&lt;</w:t>
      </w:r>
      <w:r w:rsidRPr="00B7191B">
        <w:rPr>
          <w:rFonts w:hint="eastAsia"/>
          <w:szCs w:val="21"/>
        </w:rPr>
        <w:t>中华人民共和国民法通则</w:t>
      </w:r>
      <w:r w:rsidRPr="00B7191B">
        <w:rPr>
          <w:rFonts w:hint="eastAsia"/>
          <w:szCs w:val="21"/>
        </w:rPr>
        <w:t>&gt;</w:t>
      </w:r>
      <w:r w:rsidRPr="00B7191B">
        <w:rPr>
          <w:rFonts w:hint="eastAsia"/>
          <w:szCs w:val="21"/>
        </w:rPr>
        <w:t>若干问题的意见（试行）》第</w:t>
      </w:r>
      <w:r w:rsidRPr="00B7191B">
        <w:rPr>
          <w:rFonts w:hint="eastAsia"/>
          <w:szCs w:val="21"/>
        </w:rPr>
        <w:t>8</w:t>
      </w:r>
      <w:r w:rsidRPr="00B7191B">
        <w:rPr>
          <w:rFonts w:hint="eastAsia"/>
          <w:szCs w:val="21"/>
        </w:rPr>
        <w:t>条”。引用我国台湾地区的法律文件，法律文件的名称不能使用书名号，应使用双引号，如我国台湾地区“刑事诉讼法”，香港、澳门的法律文件可直接使用书名号。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szCs w:val="21"/>
        </w:rPr>
        <w:t xml:space="preserve">9. </w:t>
      </w:r>
      <w:r w:rsidRPr="00B7191B">
        <w:rPr>
          <w:rFonts w:hint="eastAsia"/>
          <w:szCs w:val="21"/>
        </w:rPr>
        <w:t>注释中非引用原文者（即间接引用），注释前须加“参见”；非引自原始出处者，注释前须加“转引自”</w:t>
      </w:r>
      <w:r w:rsidRPr="00B7191B">
        <w:rPr>
          <w:szCs w:val="21"/>
        </w:rPr>
        <w:t>。</w:t>
      </w:r>
      <w:r w:rsidRPr="00B7191B">
        <w:rPr>
          <w:rFonts w:hint="eastAsia"/>
          <w:b/>
          <w:szCs w:val="21"/>
        </w:rPr>
        <w:t>直接</w:t>
      </w:r>
      <w:r w:rsidRPr="00B7191B">
        <w:rPr>
          <w:b/>
          <w:szCs w:val="21"/>
        </w:rPr>
        <w:t>引用的内容以原文为准，</w:t>
      </w:r>
      <w:r w:rsidRPr="00B7191B">
        <w:rPr>
          <w:rFonts w:hint="eastAsia"/>
          <w:b/>
          <w:szCs w:val="21"/>
        </w:rPr>
        <w:t>除非</w:t>
      </w:r>
      <w:r w:rsidRPr="00B7191B">
        <w:rPr>
          <w:b/>
          <w:szCs w:val="21"/>
        </w:rPr>
        <w:t>涉及政治正确</w:t>
      </w:r>
      <w:r w:rsidRPr="00B7191B">
        <w:rPr>
          <w:rFonts w:hint="eastAsia"/>
          <w:b/>
          <w:szCs w:val="21"/>
        </w:rPr>
        <w:t>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szCs w:val="21"/>
        </w:rPr>
        <w:t xml:space="preserve">10. </w:t>
      </w:r>
      <w:r w:rsidRPr="00B7191B">
        <w:rPr>
          <w:rFonts w:hint="eastAsia"/>
          <w:szCs w:val="21"/>
        </w:rPr>
        <w:t>引用本注释体例“引用例证”中未尽文献时，注释应当能够反映材料来源、文献特点，并以方便读者查阅为必要。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 xml:space="preserve">11. </w:t>
      </w:r>
      <w:r w:rsidRPr="00B7191B">
        <w:rPr>
          <w:rFonts w:hint="eastAsia"/>
          <w:szCs w:val="21"/>
        </w:rPr>
        <w:t>作者个人信息的格式为：姓名，学校</w:t>
      </w:r>
      <w:r w:rsidRPr="00B7191B">
        <w:rPr>
          <w:rFonts w:hint="eastAsia"/>
          <w:szCs w:val="21"/>
        </w:rPr>
        <w:t>+</w:t>
      </w:r>
      <w:r w:rsidRPr="00B7191B">
        <w:rPr>
          <w:rFonts w:hint="eastAsia"/>
          <w:szCs w:val="21"/>
        </w:rPr>
        <w:t>学院</w:t>
      </w:r>
      <w:r w:rsidRPr="00B7191B">
        <w:rPr>
          <w:rFonts w:hint="eastAsia"/>
          <w:szCs w:val="21"/>
        </w:rPr>
        <w:t>+XX</w:t>
      </w:r>
      <w:r w:rsidRPr="00B7191B">
        <w:rPr>
          <w:rFonts w:hint="eastAsia"/>
          <w:szCs w:val="21"/>
        </w:rPr>
        <w:t>法学专业</w:t>
      </w:r>
      <w:r w:rsidRPr="00B7191B">
        <w:rPr>
          <w:rFonts w:hint="eastAsia"/>
          <w:szCs w:val="21"/>
        </w:rPr>
        <w:t>+XX</w:t>
      </w:r>
      <w:r w:rsidRPr="00B7191B">
        <w:rPr>
          <w:rFonts w:hint="eastAsia"/>
          <w:szCs w:val="21"/>
        </w:rPr>
        <w:t>级</w:t>
      </w:r>
      <w:r w:rsidRPr="00B7191B">
        <w:rPr>
          <w:rFonts w:hint="eastAsia"/>
          <w:szCs w:val="21"/>
        </w:rPr>
        <w:t>+</w:t>
      </w:r>
      <w:r w:rsidRPr="00B7191B">
        <w:rPr>
          <w:rFonts w:hint="eastAsia"/>
          <w:szCs w:val="21"/>
        </w:rPr>
        <w:t>硕士</w:t>
      </w:r>
      <w:r w:rsidRPr="00B7191B">
        <w:rPr>
          <w:rFonts w:hint="eastAsia"/>
          <w:szCs w:val="21"/>
        </w:rPr>
        <w:t>/</w:t>
      </w:r>
      <w:r w:rsidRPr="00B7191B">
        <w:rPr>
          <w:rFonts w:hint="eastAsia"/>
          <w:szCs w:val="21"/>
        </w:rPr>
        <w:t>博士研究生（邮编）。</w:t>
      </w:r>
      <w:r w:rsidRPr="00B7191B">
        <w:rPr>
          <w:rFonts w:hint="eastAsia"/>
          <w:b/>
          <w:szCs w:val="21"/>
        </w:rPr>
        <w:t>学校、学院和专业应为全称</w:t>
      </w:r>
      <w:r w:rsidRPr="00B7191B">
        <w:rPr>
          <w:rFonts w:hint="eastAsia"/>
          <w:szCs w:val="21"/>
        </w:rPr>
        <w:t>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lastRenderedPageBreak/>
        <w:t>不能采用“刑司院”、“国经专业”等缩写形式，要写“刑法学专业”，而不是“刑法专业”，不要漏掉末尾的句号。如果作者已经工作，工作单位应明确省份、具体名称和职位，如“北京市海淀区人民法院审判员</w:t>
      </w:r>
      <w:r w:rsidRPr="00B7191B">
        <w:rPr>
          <w:rFonts w:hint="eastAsia"/>
          <w:szCs w:val="21"/>
        </w:rPr>
        <w:t>/</w:t>
      </w:r>
      <w:r w:rsidRPr="00B7191B">
        <w:rPr>
          <w:rFonts w:hint="eastAsia"/>
          <w:szCs w:val="21"/>
        </w:rPr>
        <w:t>法官助理”。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 xml:space="preserve">12. </w:t>
      </w:r>
      <w:r w:rsidRPr="00B7191B">
        <w:rPr>
          <w:rFonts w:hint="eastAsia"/>
          <w:szCs w:val="21"/>
        </w:rPr>
        <w:t>所有来稿无须附加参考文献。</w:t>
      </w:r>
    </w:p>
    <w:p w:rsidR="00A51C0F" w:rsidRPr="00B7191B" w:rsidRDefault="00A51C0F" w:rsidP="00A51C0F">
      <w:pPr>
        <w:spacing w:line="360" w:lineRule="auto"/>
        <w:rPr>
          <w:szCs w:val="21"/>
        </w:rPr>
      </w:pPr>
    </w:p>
    <w:p w:rsidR="00A51C0F" w:rsidRPr="00B7191B" w:rsidRDefault="00A51C0F" w:rsidP="00A51C0F">
      <w:pPr>
        <w:spacing w:line="360" w:lineRule="auto"/>
        <w:ind w:firstLineChars="196" w:firstLine="413"/>
        <w:rPr>
          <w:rFonts w:ascii="黑体" w:eastAsia="黑体" w:hAnsi="黑体"/>
          <w:b/>
          <w:szCs w:val="21"/>
        </w:rPr>
      </w:pPr>
      <w:r w:rsidRPr="00B7191B">
        <w:rPr>
          <w:rFonts w:ascii="黑体" w:eastAsia="黑体" w:hAnsi="黑体" w:hint="eastAsia"/>
          <w:b/>
          <w:szCs w:val="21"/>
        </w:rPr>
        <w:t>二、 引用例证</w:t>
      </w:r>
    </w:p>
    <w:p w:rsidR="00A51C0F" w:rsidRPr="00B7191B" w:rsidRDefault="00A51C0F" w:rsidP="00A51C0F">
      <w:pPr>
        <w:spacing w:line="360" w:lineRule="auto"/>
        <w:ind w:firstLineChars="196" w:firstLine="413"/>
        <w:rPr>
          <w:b/>
          <w:szCs w:val="21"/>
        </w:rPr>
      </w:pPr>
      <w:r w:rsidRPr="00B7191B">
        <w:rPr>
          <w:b/>
          <w:szCs w:val="21"/>
        </w:rPr>
        <w:t xml:space="preserve">1. </w:t>
      </w:r>
      <w:r w:rsidRPr="00B7191B">
        <w:rPr>
          <w:rFonts w:hint="eastAsia"/>
          <w:b/>
          <w:szCs w:val="21"/>
        </w:rPr>
        <w:t>非连续出版物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）国籍用国家名称单字，以“</w:t>
      </w:r>
      <w:r w:rsidRPr="00B7191B">
        <w:rPr>
          <w:szCs w:val="21"/>
        </w:rPr>
        <w:t>[ ]</w:t>
      </w:r>
      <w:r w:rsidRPr="00B7191B">
        <w:rPr>
          <w:rFonts w:hint="eastAsia"/>
          <w:szCs w:val="21"/>
        </w:rPr>
        <w:t>”标示</w:t>
      </w:r>
      <w:r w:rsidRPr="00B7191B">
        <w:rPr>
          <w:szCs w:val="21"/>
        </w:rPr>
        <w:t>（</w:t>
      </w:r>
      <w:r w:rsidRPr="00B7191B">
        <w:rPr>
          <w:b/>
          <w:szCs w:val="21"/>
        </w:rPr>
        <w:t>在英文输入下打出，</w:t>
      </w:r>
      <w:r w:rsidRPr="00B7191B">
        <w:rPr>
          <w:rFonts w:hint="eastAsia"/>
          <w:b/>
          <w:szCs w:val="21"/>
        </w:rPr>
        <w:t>但</w:t>
      </w:r>
      <w:r w:rsidRPr="00B7191B">
        <w:rPr>
          <w:b/>
          <w:szCs w:val="21"/>
        </w:rPr>
        <w:t>需改为楷体</w:t>
      </w:r>
      <w:r w:rsidRPr="00B7191B">
        <w:rPr>
          <w:szCs w:val="21"/>
        </w:rPr>
        <w:t>）</w:t>
      </w:r>
      <w:r w:rsidRPr="00B7191B">
        <w:rPr>
          <w:rFonts w:hint="eastAsia"/>
          <w:szCs w:val="21"/>
        </w:rPr>
        <w:t>。责任者二人以上为同一国籍，仅需在共同作者姓名前标注一次；若为不同国籍，应分别标注国籍。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szCs w:val="21"/>
        </w:rPr>
        <w:t>2</w:t>
      </w:r>
      <w:r w:rsidRPr="00B7191B">
        <w:rPr>
          <w:rFonts w:hint="eastAsia"/>
          <w:szCs w:val="21"/>
        </w:rPr>
        <w:t>）注释中应标明引文的出版社全称，但</w:t>
      </w:r>
      <w:r w:rsidRPr="00B7191B">
        <w:rPr>
          <w:rFonts w:hint="eastAsia"/>
          <w:b/>
          <w:szCs w:val="21"/>
        </w:rPr>
        <w:t>无须标明出版社所在地</w:t>
      </w:r>
      <w:r w:rsidRPr="00B7191B">
        <w:rPr>
          <w:rFonts w:hint="eastAsia"/>
          <w:szCs w:val="21"/>
        </w:rPr>
        <w:t>，两个出版社共同出版的中间以顿号隔开。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经常出现的出版社名称应熟记，不确定的应当上网搜索确认，如“中国检察出版社”，而不是“中国检察院出版社”，“三联书店”的全称是“生活·读书·新知三联书店”。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szCs w:val="21"/>
        </w:rPr>
        <w:t>3</w:t>
      </w:r>
      <w:r w:rsidRPr="00B7191B">
        <w:rPr>
          <w:rFonts w:hint="eastAsia"/>
          <w:szCs w:val="21"/>
        </w:rPr>
        <w:t>）注释中引文版次以年份计，不以出版次序计，统一采用“</w:t>
      </w:r>
      <w:r w:rsidRPr="00B7191B">
        <w:rPr>
          <w:rFonts w:hint="eastAsia"/>
          <w:szCs w:val="21"/>
        </w:rPr>
        <w:t>XX</w:t>
      </w:r>
      <w:r w:rsidRPr="00B7191B">
        <w:rPr>
          <w:rFonts w:hint="eastAsia"/>
          <w:szCs w:val="21"/>
        </w:rPr>
        <w:t>出版社</w:t>
      </w:r>
      <w:r w:rsidRPr="00B7191B">
        <w:rPr>
          <w:szCs w:val="21"/>
        </w:rPr>
        <w:t>XX</w:t>
      </w:r>
      <w:r w:rsidRPr="00B7191B">
        <w:rPr>
          <w:rFonts w:hint="eastAsia"/>
          <w:szCs w:val="21"/>
        </w:rPr>
        <w:t>年版”的形式，无须标明“第</w:t>
      </w:r>
      <w:r w:rsidRPr="00B7191B">
        <w:rPr>
          <w:szCs w:val="21"/>
        </w:rPr>
        <w:t>X</w:t>
      </w:r>
      <w:r w:rsidRPr="00B7191B">
        <w:rPr>
          <w:rFonts w:hint="eastAsia"/>
          <w:szCs w:val="21"/>
        </w:rPr>
        <w:t>版”。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szCs w:val="21"/>
        </w:rPr>
        <w:t>4</w:t>
      </w:r>
      <w:r w:rsidRPr="00B7191B">
        <w:rPr>
          <w:rFonts w:hint="eastAsia"/>
          <w:szCs w:val="21"/>
        </w:rPr>
        <w:t>）注释中引文的责任方式为“著”时，</w:t>
      </w:r>
      <w:r w:rsidRPr="00B7191B">
        <w:rPr>
          <w:rFonts w:ascii="宋体" w:hAnsi="宋体"/>
          <w:szCs w:val="21"/>
        </w:rPr>
        <w:t>“</w:t>
      </w:r>
      <w:r w:rsidRPr="00B7191B">
        <w:rPr>
          <w:rFonts w:ascii="宋体" w:hAnsi="宋体" w:hint="eastAsia"/>
          <w:szCs w:val="21"/>
        </w:rPr>
        <w:t>著</w:t>
      </w:r>
      <w:r w:rsidRPr="00B7191B">
        <w:rPr>
          <w:rFonts w:ascii="宋体" w:hAnsi="宋体"/>
          <w:szCs w:val="21"/>
        </w:rPr>
        <w:t>”</w:t>
      </w:r>
      <w:r w:rsidRPr="00B7191B">
        <w:rPr>
          <w:rFonts w:hint="eastAsia"/>
          <w:szCs w:val="21"/>
        </w:rPr>
        <w:t>应省略，其他责任方式（如编、主编、编著、编译等）不可省略。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szCs w:val="21"/>
        </w:rPr>
        <w:t>5</w:t>
      </w:r>
      <w:r w:rsidRPr="00B7191B">
        <w:rPr>
          <w:rFonts w:hint="eastAsia"/>
          <w:szCs w:val="21"/>
        </w:rPr>
        <w:t>）注释中引用翻译著作时，需将</w:t>
      </w:r>
      <w:r w:rsidRPr="00B7191B">
        <w:rPr>
          <w:rFonts w:hint="eastAsia"/>
          <w:b/>
          <w:szCs w:val="21"/>
        </w:rPr>
        <w:t>译者及校者置于文献题名后</w:t>
      </w:r>
      <w:r w:rsidRPr="00B7191B">
        <w:rPr>
          <w:rFonts w:hint="eastAsia"/>
          <w:szCs w:val="21"/>
        </w:rPr>
        <w:t>，作者的名字应为中文全称，如“马克思”不能写“</w:t>
      </w:r>
      <w:r w:rsidRPr="00B7191B">
        <w:rPr>
          <w:rFonts w:hint="eastAsia"/>
          <w:szCs w:val="21"/>
        </w:rPr>
        <w:t>Marx</w:t>
      </w:r>
      <w:r w:rsidRPr="00B7191B">
        <w:rPr>
          <w:rFonts w:hint="eastAsia"/>
          <w:szCs w:val="21"/>
        </w:rPr>
        <w:t>”，“马克斯·韦伯”不能只写“韦伯”。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szCs w:val="21"/>
        </w:rPr>
        <w:t>6</w:t>
      </w:r>
      <w:r w:rsidRPr="00B7191B">
        <w:rPr>
          <w:rFonts w:hint="eastAsia"/>
          <w:szCs w:val="21"/>
        </w:rPr>
        <w:t>）注释中文献卷次、册次需置于书名号之外，用括号标示，统一采用阿拉伯数字，如“（第</w:t>
      </w:r>
      <w:r w:rsidRPr="00B7191B">
        <w:rPr>
          <w:rFonts w:hint="eastAsia"/>
          <w:szCs w:val="21"/>
        </w:rPr>
        <w:t>1</w:t>
      </w:r>
      <w:r w:rsidRPr="00B7191B">
        <w:rPr>
          <w:rFonts w:hint="eastAsia"/>
          <w:szCs w:val="21"/>
        </w:rPr>
        <w:t>卷）”、“（第</w:t>
      </w:r>
      <w:r w:rsidRPr="00B7191B">
        <w:rPr>
          <w:rFonts w:hint="eastAsia"/>
          <w:szCs w:val="21"/>
        </w:rPr>
        <w:t>2</w:t>
      </w:r>
      <w:r w:rsidRPr="00B7191B">
        <w:rPr>
          <w:rFonts w:hint="eastAsia"/>
          <w:szCs w:val="21"/>
        </w:rPr>
        <w:t>册）”。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szCs w:val="21"/>
        </w:rPr>
        <w:t>7</w:t>
      </w:r>
      <w:r w:rsidRPr="00B7191B">
        <w:rPr>
          <w:rFonts w:hint="eastAsia"/>
          <w:szCs w:val="21"/>
        </w:rPr>
        <w:t>）引文的被析出文献为非连续出版物时，被析出文献名前须加注“载”字；文集责任者与析出文献责任者相同时，省略文集责任者。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szCs w:val="21"/>
        </w:rPr>
        <w:t>8</w:t>
      </w:r>
      <w:r w:rsidRPr="00B7191B">
        <w:rPr>
          <w:rFonts w:hint="eastAsia"/>
          <w:szCs w:val="21"/>
        </w:rPr>
        <w:t>）引文中涉及古籍的，注释从简，仅需注明具体篇名或卷数，</w:t>
      </w:r>
      <w:r w:rsidRPr="00B7191B">
        <w:rPr>
          <w:rFonts w:hint="eastAsia"/>
          <w:b/>
          <w:szCs w:val="21"/>
        </w:rPr>
        <w:t>朝代以圆括号标示</w:t>
      </w:r>
      <w:r w:rsidRPr="00B7191B">
        <w:rPr>
          <w:rFonts w:hint="eastAsia"/>
          <w:szCs w:val="21"/>
        </w:rPr>
        <w:t>；如所引为古代法典中具体法律条文，须注明具体条文名称。</w:t>
      </w:r>
    </w:p>
    <w:p w:rsidR="00A51C0F" w:rsidRPr="00B7191B" w:rsidRDefault="00A51C0F" w:rsidP="00A51C0F">
      <w:pPr>
        <w:spacing w:line="360" w:lineRule="auto"/>
        <w:ind w:firstLineChars="196" w:firstLine="413"/>
        <w:rPr>
          <w:rFonts w:ascii="黑体" w:eastAsia="黑体"/>
          <w:b/>
          <w:szCs w:val="21"/>
        </w:rPr>
      </w:pPr>
      <w:r w:rsidRPr="00B7191B">
        <w:rPr>
          <w:rFonts w:ascii="黑体" w:eastAsia="黑体" w:hint="eastAsia"/>
          <w:b/>
          <w:szCs w:val="21"/>
        </w:rPr>
        <w:t>示例：</w:t>
      </w:r>
    </w:p>
    <w:p w:rsidR="00A51C0F" w:rsidRPr="00B7191B" w:rsidRDefault="00A51C0F" w:rsidP="00A51C0F">
      <w:pPr>
        <w:spacing w:line="360" w:lineRule="auto"/>
        <w:ind w:firstLineChars="196" w:firstLine="413"/>
        <w:rPr>
          <w:b/>
          <w:szCs w:val="21"/>
        </w:rPr>
      </w:pPr>
      <w:r w:rsidRPr="00B7191B">
        <w:rPr>
          <w:b/>
          <w:szCs w:val="21"/>
        </w:rPr>
        <w:t xml:space="preserve">A. </w:t>
      </w:r>
      <w:r w:rsidRPr="00B7191B">
        <w:rPr>
          <w:rFonts w:hint="eastAsia"/>
          <w:b/>
          <w:szCs w:val="21"/>
        </w:rPr>
        <w:t>著作类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〕沈宗灵：《现代西方法理学》，北京大学出版社</w:t>
      </w:r>
      <w:r w:rsidRPr="00B7191B">
        <w:rPr>
          <w:szCs w:val="21"/>
        </w:rPr>
        <w:t>1992</w:t>
      </w:r>
      <w:r w:rsidRPr="00B7191B">
        <w:rPr>
          <w:rFonts w:hint="eastAsia"/>
          <w:szCs w:val="21"/>
        </w:rPr>
        <w:t>年版，第</w:t>
      </w:r>
      <w:r w:rsidRPr="00B7191B">
        <w:rPr>
          <w:szCs w:val="21"/>
        </w:rPr>
        <w:t>148</w:t>
      </w:r>
      <w:r w:rsidRPr="00B7191B">
        <w:rPr>
          <w:rFonts w:hint="eastAsia"/>
          <w:szCs w:val="21"/>
        </w:rPr>
        <w:t>页。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2</w:t>
      </w:r>
      <w:r w:rsidRPr="00B7191B">
        <w:rPr>
          <w:rFonts w:hint="eastAsia"/>
          <w:szCs w:val="21"/>
        </w:rPr>
        <w:t>〕陈光中主编：《刑事诉讼法》，北京大学出版社、高等教育出版社</w:t>
      </w:r>
      <w:r w:rsidRPr="00B7191B">
        <w:rPr>
          <w:szCs w:val="21"/>
        </w:rPr>
        <w:t>2002</w:t>
      </w:r>
      <w:r w:rsidRPr="00B7191B">
        <w:rPr>
          <w:rFonts w:hint="eastAsia"/>
          <w:szCs w:val="21"/>
        </w:rPr>
        <w:t>年版，第</w:t>
      </w:r>
      <w:r w:rsidRPr="00B7191B">
        <w:rPr>
          <w:szCs w:val="21"/>
        </w:rPr>
        <w:t>148</w:t>
      </w:r>
      <w:r w:rsidRPr="00B7191B">
        <w:rPr>
          <w:rFonts w:hint="eastAsia"/>
          <w:szCs w:val="21"/>
        </w:rPr>
        <w:t>页。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lastRenderedPageBreak/>
        <w:t>〔</w:t>
      </w:r>
      <w:r w:rsidRPr="00B7191B">
        <w:rPr>
          <w:szCs w:val="21"/>
        </w:rPr>
        <w:t>3</w:t>
      </w:r>
      <w:r w:rsidRPr="00B7191B">
        <w:rPr>
          <w:rFonts w:hint="eastAsia"/>
          <w:szCs w:val="21"/>
        </w:rPr>
        <w:t>〕</w:t>
      </w:r>
      <w:r w:rsidRPr="00B7191B">
        <w:rPr>
          <w:rFonts w:ascii="宋体" w:hAnsi="宋体"/>
          <w:szCs w:val="21"/>
        </w:rPr>
        <w:t>[</w:t>
      </w:r>
      <w:r w:rsidRPr="00B7191B">
        <w:rPr>
          <w:rFonts w:ascii="宋体" w:hAnsi="宋体" w:hint="eastAsia"/>
          <w:szCs w:val="21"/>
        </w:rPr>
        <w:t>德</w:t>
      </w:r>
      <w:r w:rsidRPr="00B7191B">
        <w:rPr>
          <w:rFonts w:ascii="宋体" w:hAnsi="宋体" w:hint="eastAsia"/>
          <w:szCs w:val="21"/>
        </w:rPr>
        <w:t>]</w:t>
      </w:r>
      <w:r w:rsidRPr="00B7191B">
        <w:rPr>
          <w:rFonts w:hint="eastAsia"/>
          <w:szCs w:val="21"/>
        </w:rPr>
        <w:t>茨威格特、克茨：《比较法总论》，潘汉典等译，商务印书馆</w:t>
      </w:r>
      <w:r w:rsidRPr="00B7191B">
        <w:rPr>
          <w:szCs w:val="21"/>
        </w:rPr>
        <w:t>2003</w:t>
      </w:r>
      <w:r w:rsidRPr="00B7191B">
        <w:rPr>
          <w:rFonts w:hint="eastAsia"/>
          <w:szCs w:val="21"/>
        </w:rPr>
        <w:t>年版，第</w:t>
      </w:r>
      <w:r w:rsidRPr="00B7191B">
        <w:rPr>
          <w:szCs w:val="21"/>
        </w:rPr>
        <w:t>69</w:t>
      </w:r>
      <w:r w:rsidRPr="00B7191B">
        <w:rPr>
          <w:rFonts w:hint="eastAsia"/>
          <w:szCs w:val="21"/>
        </w:rPr>
        <w:t>页。</w:t>
      </w:r>
    </w:p>
    <w:p w:rsidR="00A51C0F" w:rsidRPr="00B7191B" w:rsidRDefault="00A51C0F" w:rsidP="00A51C0F">
      <w:pPr>
        <w:spacing w:line="360" w:lineRule="auto"/>
        <w:ind w:firstLineChars="196" w:firstLine="413"/>
        <w:rPr>
          <w:b/>
          <w:szCs w:val="21"/>
        </w:rPr>
      </w:pPr>
      <w:r w:rsidRPr="00B7191B">
        <w:rPr>
          <w:b/>
          <w:szCs w:val="21"/>
        </w:rPr>
        <w:t xml:space="preserve">B. </w:t>
      </w:r>
      <w:r w:rsidRPr="00B7191B">
        <w:rPr>
          <w:rFonts w:hint="eastAsia"/>
          <w:b/>
          <w:szCs w:val="21"/>
        </w:rPr>
        <w:t>析出文献类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〕高一飞：“论媒体与司法关系的国际准则”，载樊崇义主编：《诉讼法学研究》（第</w:t>
      </w:r>
      <w:r w:rsidRPr="00B7191B">
        <w:rPr>
          <w:rFonts w:hint="eastAsia"/>
          <w:szCs w:val="21"/>
        </w:rPr>
        <w:t>10</w:t>
      </w:r>
      <w:r w:rsidRPr="00B7191B">
        <w:rPr>
          <w:rFonts w:hint="eastAsia"/>
          <w:szCs w:val="21"/>
        </w:rPr>
        <w:t>卷），中国检察出版社</w:t>
      </w:r>
      <w:r w:rsidRPr="00B7191B">
        <w:rPr>
          <w:szCs w:val="21"/>
        </w:rPr>
        <w:t>2006</w:t>
      </w:r>
      <w:r w:rsidRPr="00B7191B">
        <w:rPr>
          <w:rFonts w:hint="eastAsia"/>
          <w:szCs w:val="21"/>
        </w:rPr>
        <w:t>年版，第</w:t>
      </w:r>
      <w:r w:rsidRPr="00B7191B">
        <w:rPr>
          <w:szCs w:val="21"/>
        </w:rPr>
        <w:t>3</w:t>
      </w:r>
      <w:r w:rsidRPr="00B7191B">
        <w:rPr>
          <w:rFonts w:hint="eastAsia"/>
          <w:szCs w:val="21"/>
        </w:rPr>
        <w:t>页。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2</w:t>
      </w:r>
      <w:r w:rsidRPr="00B7191B">
        <w:rPr>
          <w:rFonts w:hint="eastAsia"/>
          <w:szCs w:val="21"/>
        </w:rPr>
        <w:t>〕梁治平：“说‘治’”，载《法辨》，中国政法大学出版社</w:t>
      </w:r>
      <w:r w:rsidRPr="00B7191B">
        <w:rPr>
          <w:szCs w:val="21"/>
        </w:rPr>
        <w:t>2002</w:t>
      </w:r>
      <w:r w:rsidRPr="00B7191B">
        <w:rPr>
          <w:rFonts w:hint="eastAsia"/>
          <w:szCs w:val="21"/>
        </w:rPr>
        <w:t>年版，第</w:t>
      </w:r>
      <w:r w:rsidRPr="00B7191B">
        <w:rPr>
          <w:szCs w:val="21"/>
        </w:rPr>
        <w:t>104</w:t>
      </w:r>
      <w:r w:rsidRPr="00B7191B">
        <w:rPr>
          <w:rFonts w:hint="eastAsia"/>
          <w:szCs w:val="21"/>
        </w:rPr>
        <w:t>页。</w:t>
      </w:r>
    </w:p>
    <w:p w:rsidR="00A51C0F" w:rsidRPr="00B7191B" w:rsidRDefault="00A51C0F" w:rsidP="00A51C0F">
      <w:pPr>
        <w:spacing w:line="360" w:lineRule="auto"/>
        <w:ind w:firstLineChars="196" w:firstLine="413"/>
        <w:rPr>
          <w:b/>
          <w:szCs w:val="21"/>
        </w:rPr>
      </w:pPr>
      <w:r w:rsidRPr="00B7191B">
        <w:rPr>
          <w:b/>
          <w:szCs w:val="21"/>
        </w:rPr>
        <w:t xml:space="preserve">C. </w:t>
      </w:r>
      <w:r w:rsidRPr="00B7191B">
        <w:rPr>
          <w:rFonts w:hint="eastAsia"/>
          <w:b/>
          <w:szCs w:val="21"/>
        </w:rPr>
        <w:t>古籍类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〕《汉书·刑法志》。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2</w:t>
      </w:r>
      <w:r w:rsidRPr="00B7191B">
        <w:rPr>
          <w:rFonts w:hint="eastAsia"/>
          <w:szCs w:val="21"/>
        </w:rPr>
        <w:t>〕《宋会要辑稿·食货》卷三。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3</w:t>
      </w:r>
      <w:r w:rsidRPr="00B7191B">
        <w:rPr>
          <w:rFonts w:hint="eastAsia"/>
          <w:szCs w:val="21"/>
        </w:rPr>
        <w:t>〕《唐律疏议·名例》“化外人相犯”。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4</w:t>
      </w:r>
      <w:r w:rsidRPr="00B7191B">
        <w:rPr>
          <w:rFonts w:hint="eastAsia"/>
          <w:szCs w:val="21"/>
        </w:rPr>
        <w:t>〕</w:t>
      </w:r>
      <w:r w:rsidRPr="00B7191B">
        <w:rPr>
          <w:szCs w:val="21"/>
        </w:rPr>
        <w:t>（明）张岱：《</w:t>
      </w:r>
      <w:r w:rsidRPr="00B7191B">
        <w:rPr>
          <w:rFonts w:hint="eastAsia"/>
          <w:szCs w:val="21"/>
        </w:rPr>
        <w:t>夜航船</w:t>
      </w:r>
      <w:r w:rsidRPr="00B7191B">
        <w:rPr>
          <w:szCs w:val="21"/>
        </w:rPr>
        <w:t>》，李小龙整理，</w:t>
      </w:r>
      <w:r w:rsidRPr="00B7191B">
        <w:rPr>
          <w:rFonts w:hint="eastAsia"/>
          <w:szCs w:val="21"/>
        </w:rPr>
        <w:t>中华书局</w:t>
      </w:r>
      <w:r w:rsidRPr="00B7191B">
        <w:rPr>
          <w:szCs w:val="21"/>
        </w:rPr>
        <w:t>2012</w:t>
      </w:r>
      <w:r w:rsidRPr="00B7191B">
        <w:rPr>
          <w:rFonts w:hint="eastAsia"/>
          <w:szCs w:val="21"/>
        </w:rPr>
        <w:t>年</w:t>
      </w:r>
      <w:r w:rsidRPr="00B7191B">
        <w:rPr>
          <w:szCs w:val="21"/>
        </w:rPr>
        <w:t>版，</w:t>
      </w:r>
      <w:r w:rsidRPr="00B7191B">
        <w:rPr>
          <w:rFonts w:hint="eastAsia"/>
          <w:szCs w:val="21"/>
        </w:rPr>
        <w:t>第</w:t>
      </w:r>
      <w:r w:rsidRPr="00B7191B">
        <w:rPr>
          <w:szCs w:val="21"/>
        </w:rPr>
        <w:t>120</w:t>
      </w:r>
      <w:r w:rsidRPr="00B7191B">
        <w:rPr>
          <w:rFonts w:hint="eastAsia"/>
          <w:szCs w:val="21"/>
        </w:rPr>
        <w:t>页</w:t>
      </w:r>
      <w:r w:rsidRPr="00B7191B">
        <w:rPr>
          <w:szCs w:val="21"/>
        </w:rPr>
        <w:t>。</w:t>
      </w:r>
    </w:p>
    <w:p w:rsidR="00A51C0F" w:rsidRPr="00B7191B" w:rsidRDefault="00A51C0F" w:rsidP="00A51C0F">
      <w:pPr>
        <w:spacing w:line="360" w:lineRule="auto"/>
        <w:rPr>
          <w:szCs w:val="21"/>
        </w:rPr>
      </w:pPr>
    </w:p>
    <w:p w:rsidR="00A51C0F" w:rsidRPr="00B7191B" w:rsidRDefault="00A51C0F" w:rsidP="00A51C0F">
      <w:pPr>
        <w:spacing w:line="360" w:lineRule="auto"/>
        <w:ind w:firstLineChars="196" w:firstLine="413"/>
        <w:rPr>
          <w:b/>
          <w:szCs w:val="21"/>
        </w:rPr>
      </w:pPr>
      <w:r w:rsidRPr="00B7191B">
        <w:rPr>
          <w:b/>
          <w:szCs w:val="21"/>
        </w:rPr>
        <w:t xml:space="preserve">2. </w:t>
      </w:r>
      <w:r w:rsidRPr="00B7191B">
        <w:rPr>
          <w:rFonts w:hint="eastAsia"/>
          <w:b/>
          <w:szCs w:val="21"/>
        </w:rPr>
        <w:t>连续出版物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）引文的被析出文献为连续出版物时，被析出文献名前须加注“载”字，且</w:t>
      </w:r>
      <w:r w:rsidRPr="00B7191B">
        <w:rPr>
          <w:b/>
          <w:szCs w:val="21"/>
        </w:rPr>
        <w:t>析出文献题目用双引号标示，</w:t>
      </w:r>
      <w:r w:rsidRPr="00B7191B">
        <w:rPr>
          <w:rFonts w:hint="eastAsia"/>
          <w:b/>
          <w:szCs w:val="21"/>
        </w:rPr>
        <w:t>被析出文献（如期刊、报纸）须用书名号标示</w:t>
      </w:r>
      <w:r w:rsidRPr="00B7191B">
        <w:rPr>
          <w:rFonts w:hint="eastAsia"/>
          <w:szCs w:val="21"/>
        </w:rPr>
        <w:t>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szCs w:val="21"/>
        </w:rPr>
        <w:t>2</w:t>
      </w:r>
      <w:r w:rsidRPr="00B7191B">
        <w:rPr>
          <w:rFonts w:hint="eastAsia"/>
          <w:szCs w:val="21"/>
        </w:rPr>
        <w:t>）同一种期刊有两个以上版别时，须注明所引用版别，并用括号标示，括号应位于书名号之内。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szCs w:val="21"/>
        </w:rPr>
        <w:t>3</w:t>
      </w:r>
      <w:r w:rsidRPr="00B7191B">
        <w:rPr>
          <w:rFonts w:hint="eastAsia"/>
          <w:szCs w:val="21"/>
        </w:rPr>
        <w:t>）期刊期次以“</w:t>
      </w:r>
      <w:r w:rsidRPr="00B7191B">
        <w:rPr>
          <w:szCs w:val="21"/>
        </w:rPr>
        <w:t>X</w:t>
      </w:r>
      <w:r w:rsidRPr="00B7191B">
        <w:rPr>
          <w:rFonts w:hint="eastAsia"/>
          <w:szCs w:val="21"/>
        </w:rPr>
        <w:t>年第</w:t>
      </w:r>
      <w:r w:rsidRPr="00B7191B">
        <w:rPr>
          <w:szCs w:val="21"/>
        </w:rPr>
        <w:t>X</w:t>
      </w:r>
      <w:r w:rsidRPr="00B7191B">
        <w:rPr>
          <w:rFonts w:hint="eastAsia"/>
          <w:szCs w:val="21"/>
        </w:rPr>
        <w:t>期”标示，不采用“总第</w:t>
      </w:r>
      <w:r w:rsidRPr="00B7191B">
        <w:rPr>
          <w:szCs w:val="21"/>
        </w:rPr>
        <w:t>X</w:t>
      </w:r>
      <w:r w:rsidRPr="00B7191B">
        <w:rPr>
          <w:rFonts w:hint="eastAsia"/>
          <w:szCs w:val="21"/>
        </w:rPr>
        <w:t>卷”或“第</w:t>
      </w:r>
      <w:r w:rsidRPr="00B7191B">
        <w:rPr>
          <w:szCs w:val="21"/>
        </w:rPr>
        <w:t>X</w:t>
      </w:r>
      <w:r w:rsidRPr="00B7191B">
        <w:rPr>
          <w:rFonts w:hint="eastAsia"/>
          <w:szCs w:val="21"/>
        </w:rPr>
        <w:t>月”等形式</w:t>
      </w:r>
      <w:r w:rsidRPr="00B7191B">
        <w:rPr>
          <w:szCs w:val="21"/>
        </w:rPr>
        <w:t>，</w:t>
      </w:r>
      <w:r w:rsidRPr="00B7191B">
        <w:rPr>
          <w:rFonts w:hint="eastAsia"/>
          <w:b/>
          <w:szCs w:val="21"/>
        </w:rPr>
        <w:t>除非</w:t>
      </w:r>
      <w:r w:rsidRPr="00B7191B">
        <w:rPr>
          <w:b/>
          <w:szCs w:val="21"/>
        </w:rPr>
        <w:t>原期刊无期数标记</w:t>
      </w:r>
      <w:r w:rsidRPr="00B7191B">
        <w:rPr>
          <w:rFonts w:hint="eastAsia"/>
          <w:szCs w:val="21"/>
        </w:rPr>
        <w:t>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rFonts w:hint="eastAsia"/>
          <w:szCs w:val="21"/>
        </w:rPr>
        <w:t>4</w:t>
      </w:r>
      <w:r w:rsidRPr="00B7191B">
        <w:rPr>
          <w:rFonts w:hint="eastAsia"/>
          <w:szCs w:val="21"/>
        </w:rPr>
        <w:t>）引文须注明其所在期刊的具体页码，包括直接引用和间接引用</w:t>
      </w:r>
      <w:r w:rsidRPr="00B7191B">
        <w:rPr>
          <w:szCs w:val="21"/>
        </w:rPr>
        <w:t>；</w:t>
      </w:r>
      <w:r w:rsidRPr="00B7191B">
        <w:rPr>
          <w:rFonts w:hint="eastAsia"/>
          <w:b/>
          <w:szCs w:val="21"/>
        </w:rPr>
        <w:t>若</w:t>
      </w:r>
      <w:r w:rsidRPr="00B7191B">
        <w:rPr>
          <w:b/>
          <w:szCs w:val="21"/>
        </w:rPr>
        <w:t>是对文章中心思想的引用，</w:t>
      </w:r>
      <w:r w:rsidRPr="00B7191B">
        <w:rPr>
          <w:rFonts w:hint="eastAsia"/>
          <w:b/>
          <w:szCs w:val="21"/>
        </w:rPr>
        <w:t>则</w:t>
      </w:r>
      <w:r w:rsidRPr="00B7191B">
        <w:rPr>
          <w:b/>
          <w:szCs w:val="21"/>
        </w:rPr>
        <w:t>标明文章的起止页码</w:t>
      </w:r>
      <w:r w:rsidRPr="00B7191B">
        <w:rPr>
          <w:rFonts w:hint="eastAsia"/>
          <w:szCs w:val="21"/>
        </w:rPr>
        <w:t>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rFonts w:hint="eastAsia"/>
          <w:szCs w:val="21"/>
        </w:rPr>
        <w:t>5</w:t>
      </w:r>
      <w:r w:rsidRPr="00B7191B">
        <w:rPr>
          <w:rFonts w:hint="eastAsia"/>
          <w:szCs w:val="21"/>
        </w:rPr>
        <w:t>）引文的被析出文献是报纸的，须注明报纸的出版日期，但</w:t>
      </w:r>
      <w:r w:rsidRPr="00B7191B">
        <w:rPr>
          <w:rFonts w:hint="eastAsia"/>
          <w:b/>
          <w:szCs w:val="21"/>
        </w:rPr>
        <w:t>无须注明报纸的版别</w:t>
      </w:r>
      <w:r w:rsidRPr="00B7191B">
        <w:rPr>
          <w:rFonts w:hint="eastAsia"/>
          <w:szCs w:val="21"/>
        </w:rPr>
        <w:t>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rFonts w:hint="eastAsia"/>
          <w:szCs w:val="21"/>
        </w:rPr>
        <w:t>6</w:t>
      </w:r>
      <w:r w:rsidRPr="00B7191B">
        <w:rPr>
          <w:rFonts w:hint="eastAsia"/>
          <w:szCs w:val="21"/>
        </w:rPr>
        <w:t>）引用未刊文献须注明作者并以括号注明“未发表”，必要时应提供授权使用情况。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rFonts w:hint="eastAsia"/>
          <w:szCs w:val="21"/>
        </w:rPr>
        <w:t>7</w:t>
      </w:r>
      <w:r w:rsidRPr="00B7191B">
        <w:rPr>
          <w:rFonts w:hint="eastAsia"/>
          <w:szCs w:val="21"/>
        </w:rPr>
        <w:t>）注释中引文为学位论文的，须注明论文的形成地点、年份、学位级别、页码。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rFonts w:hint="eastAsia"/>
          <w:szCs w:val="21"/>
        </w:rPr>
        <w:t>8</w:t>
      </w:r>
      <w:r w:rsidRPr="00B7191B">
        <w:rPr>
          <w:rFonts w:hint="eastAsia"/>
          <w:szCs w:val="21"/>
        </w:rPr>
        <w:t>）注释中引文为会议论文的，须注明会议的地点、年月，并用括号标示。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rFonts w:hint="eastAsia"/>
          <w:szCs w:val="21"/>
        </w:rPr>
        <w:t>9</w:t>
      </w:r>
      <w:r w:rsidRPr="00B7191B">
        <w:rPr>
          <w:rFonts w:hint="eastAsia"/>
          <w:szCs w:val="21"/>
        </w:rPr>
        <w:t>）注释中引用电子文献的，须注明具体访问路径与责任者最后访问时间。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（</w:t>
      </w:r>
      <w:r w:rsidRPr="00B7191B">
        <w:rPr>
          <w:rFonts w:hint="eastAsia"/>
          <w:szCs w:val="21"/>
        </w:rPr>
        <w:t>10</w:t>
      </w:r>
      <w:r w:rsidRPr="00B7191B">
        <w:rPr>
          <w:rFonts w:hint="eastAsia"/>
          <w:szCs w:val="21"/>
        </w:rPr>
        <w:t>）注释中引用中国大陆地区案例的，仅需要注明案号。引用我国香港、澳门和台湾地区以及外国判例的，采用所在数据库或者出版物的引注格式。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</w:p>
    <w:p w:rsidR="00A51C0F" w:rsidRPr="00B7191B" w:rsidRDefault="00A51C0F" w:rsidP="00A51C0F">
      <w:pPr>
        <w:spacing w:line="360" w:lineRule="auto"/>
        <w:ind w:firstLineChars="196" w:firstLine="413"/>
        <w:rPr>
          <w:rFonts w:ascii="黑体" w:eastAsia="黑体"/>
          <w:b/>
          <w:szCs w:val="21"/>
        </w:rPr>
      </w:pPr>
      <w:r w:rsidRPr="00B7191B">
        <w:rPr>
          <w:rFonts w:ascii="黑体" w:eastAsia="黑体" w:hint="eastAsia"/>
          <w:b/>
          <w:szCs w:val="21"/>
        </w:rPr>
        <w:t>示例：</w:t>
      </w:r>
    </w:p>
    <w:p w:rsidR="00A51C0F" w:rsidRPr="00B7191B" w:rsidRDefault="00A51C0F" w:rsidP="00A51C0F">
      <w:pPr>
        <w:spacing w:line="360" w:lineRule="auto"/>
        <w:ind w:firstLineChars="196" w:firstLine="413"/>
        <w:rPr>
          <w:b/>
          <w:szCs w:val="21"/>
        </w:rPr>
      </w:pPr>
      <w:r w:rsidRPr="00B7191B">
        <w:rPr>
          <w:b/>
          <w:szCs w:val="21"/>
        </w:rPr>
        <w:lastRenderedPageBreak/>
        <w:t xml:space="preserve">A. </w:t>
      </w:r>
      <w:r w:rsidRPr="00B7191B">
        <w:rPr>
          <w:rFonts w:hint="eastAsia"/>
          <w:b/>
          <w:szCs w:val="21"/>
        </w:rPr>
        <w:t>期刊类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〕谭筱清：“已有公知技术抗辩原则在专利侵权中的运用”，载《人民司法》</w:t>
      </w:r>
      <w:r w:rsidRPr="00B7191B">
        <w:rPr>
          <w:szCs w:val="21"/>
        </w:rPr>
        <w:t>2008</w:t>
      </w:r>
      <w:r w:rsidRPr="00B7191B">
        <w:rPr>
          <w:rFonts w:hint="eastAsia"/>
          <w:szCs w:val="21"/>
        </w:rPr>
        <w:t>年第</w:t>
      </w:r>
      <w:r w:rsidRPr="00B7191B">
        <w:rPr>
          <w:szCs w:val="21"/>
        </w:rPr>
        <w:t>8</w:t>
      </w:r>
      <w:r w:rsidRPr="00B7191B">
        <w:rPr>
          <w:rFonts w:hint="eastAsia"/>
          <w:szCs w:val="21"/>
        </w:rPr>
        <w:t>期，第</w:t>
      </w:r>
      <w:r w:rsidRPr="00B7191B">
        <w:rPr>
          <w:rFonts w:hint="eastAsia"/>
          <w:szCs w:val="21"/>
        </w:rPr>
        <w:t>19</w:t>
      </w:r>
      <w:r w:rsidRPr="00B7191B">
        <w:rPr>
          <w:rFonts w:hint="eastAsia"/>
          <w:szCs w:val="21"/>
        </w:rPr>
        <w:t>页。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2</w:t>
      </w:r>
      <w:r w:rsidRPr="00B7191B">
        <w:rPr>
          <w:rFonts w:hint="eastAsia"/>
          <w:szCs w:val="21"/>
        </w:rPr>
        <w:t>〕朱显国：“专利侵权诉讼中的公知技术抗辩”，载《南京理工大学学报（社会科学版）》</w:t>
      </w:r>
      <w:r w:rsidRPr="00B7191B">
        <w:rPr>
          <w:szCs w:val="21"/>
        </w:rPr>
        <w:t>2003</w:t>
      </w:r>
      <w:r w:rsidRPr="00B7191B">
        <w:rPr>
          <w:rFonts w:hint="eastAsia"/>
          <w:szCs w:val="21"/>
        </w:rPr>
        <w:t>年第</w:t>
      </w:r>
      <w:r w:rsidRPr="00B7191B">
        <w:rPr>
          <w:szCs w:val="21"/>
        </w:rPr>
        <w:t>3</w:t>
      </w:r>
      <w:r w:rsidRPr="00B7191B">
        <w:rPr>
          <w:rFonts w:hint="eastAsia"/>
          <w:szCs w:val="21"/>
        </w:rPr>
        <w:t>期，第</w:t>
      </w:r>
      <w:r w:rsidRPr="00B7191B">
        <w:rPr>
          <w:rFonts w:hint="eastAsia"/>
          <w:szCs w:val="21"/>
        </w:rPr>
        <w:t>63</w:t>
      </w:r>
      <w:r w:rsidRPr="00B7191B">
        <w:rPr>
          <w:rFonts w:hint="eastAsia"/>
          <w:szCs w:val="21"/>
        </w:rPr>
        <w:t>页。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3</w:t>
      </w:r>
      <w:r w:rsidRPr="00B7191B">
        <w:rPr>
          <w:rFonts w:hint="eastAsia"/>
          <w:szCs w:val="21"/>
        </w:rPr>
        <w:t>〕</w:t>
      </w:r>
      <w:r w:rsidRPr="00B7191B">
        <w:rPr>
          <w:szCs w:val="21"/>
        </w:rPr>
        <w:t>徐峰：</w:t>
      </w:r>
      <w:r w:rsidRPr="00B7191B">
        <w:rPr>
          <w:rFonts w:hint="eastAsia"/>
          <w:szCs w:val="21"/>
        </w:rPr>
        <w:t>“</w:t>
      </w:r>
      <w:r w:rsidRPr="00B7191B">
        <w:rPr>
          <w:szCs w:val="21"/>
        </w:rPr>
        <w:t>正义优先于应得？</w:t>
      </w:r>
      <w:r w:rsidRPr="00B7191B">
        <w:rPr>
          <w:szCs w:val="21"/>
        </w:rPr>
        <w:t>——</w:t>
      </w:r>
      <w:r w:rsidRPr="00B7191B">
        <w:rPr>
          <w:rFonts w:hint="eastAsia"/>
          <w:szCs w:val="21"/>
        </w:rPr>
        <w:t>评</w:t>
      </w:r>
      <w:r w:rsidRPr="00B7191B">
        <w:rPr>
          <w:szCs w:val="21"/>
        </w:rPr>
        <w:t>罗尔斯的</w:t>
      </w:r>
      <w:r w:rsidRPr="00B7191B">
        <w:rPr>
          <w:rFonts w:ascii="宋体" w:hAnsi="宋体"/>
          <w:szCs w:val="21"/>
        </w:rPr>
        <w:t>‘</w:t>
      </w:r>
      <w:r w:rsidRPr="00B7191B">
        <w:rPr>
          <w:szCs w:val="21"/>
        </w:rPr>
        <w:t>反应得</w:t>
      </w:r>
      <w:r w:rsidRPr="00B7191B">
        <w:rPr>
          <w:rFonts w:ascii="宋体" w:hAnsi="宋体"/>
          <w:szCs w:val="21"/>
        </w:rPr>
        <w:t>’</w:t>
      </w:r>
      <w:r w:rsidRPr="00B7191B">
        <w:rPr>
          <w:szCs w:val="21"/>
        </w:rPr>
        <w:t>理论</w:t>
      </w:r>
      <w:r w:rsidRPr="00B7191B">
        <w:rPr>
          <w:rFonts w:hint="eastAsia"/>
          <w:szCs w:val="21"/>
        </w:rPr>
        <w:t>”，</w:t>
      </w:r>
      <w:r w:rsidRPr="00B7191B">
        <w:rPr>
          <w:szCs w:val="21"/>
        </w:rPr>
        <w:t>载《</w:t>
      </w:r>
      <w:r w:rsidRPr="00B7191B">
        <w:rPr>
          <w:rFonts w:hint="eastAsia"/>
          <w:szCs w:val="21"/>
        </w:rPr>
        <w:t>二十一</w:t>
      </w:r>
      <w:r w:rsidRPr="00B7191B">
        <w:rPr>
          <w:szCs w:val="21"/>
        </w:rPr>
        <w:t>世纪》</w:t>
      </w:r>
      <w:r w:rsidRPr="00B7191B">
        <w:rPr>
          <w:szCs w:val="21"/>
        </w:rPr>
        <w:t>2015</w:t>
      </w:r>
      <w:r w:rsidRPr="00B7191B">
        <w:rPr>
          <w:rFonts w:hint="eastAsia"/>
          <w:szCs w:val="21"/>
        </w:rPr>
        <w:t>年</w:t>
      </w:r>
      <w:r w:rsidRPr="00B7191B">
        <w:rPr>
          <w:szCs w:val="21"/>
        </w:rPr>
        <w:t>8</w:t>
      </w:r>
      <w:r w:rsidRPr="00B7191B">
        <w:rPr>
          <w:rFonts w:hint="eastAsia"/>
          <w:szCs w:val="21"/>
        </w:rPr>
        <w:t>月</w:t>
      </w:r>
      <w:r w:rsidRPr="00B7191B">
        <w:rPr>
          <w:szCs w:val="21"/>
        </w:rPr>
        <w:t>号，</w:t>
      </w:r>
      <w:r w:rsidRPr="00B7191B">
        <w:rPr>
          <w:rFonts w:hint="eastAsia"/>
          <w:szCs w:val="21"/>
        </w:rPr>
        <w:t>第</w:t>
      </w:r>
      <w:r w:rsidRPr="00B7191B">
        <w:rPr>
          <w:szCs w:val="21"/>
        </w:rPr>
        <w:t>79~90</w:t>
      </w:r>
      <w:r w:rsidRPr="00B7191B">
        <w:rPr>
          <w:rFonts w:hint="eastAsia"/>
          <w:szCs w:val="21"/>
        </w:rPr>
        <w:t>页</w:t>
      </w:r>
      <w:r w:rsidRPr="00B7191B">
        <w:rPr>
          <w:szCs w:val="21"/>
        </w:rPr>
        <w:t>。</w:t>
      </w:r>
    </w:p>
    <w:p w:rsidR="00A51C0F" w:rsidRPr="00B7191B" w:rsidRDefault="00A51C0F" w:rsidP="00A51C0F">
      <w:pPr>
        <w:spacing w:line="360" w:lineRule="auto"/>
        <w:ind w:firstLineChars="196" w:firstLine="413"/>
        <w:rPr>
          <w:b/>
          <w:szCs w:val="21"/>
        </w:rPr>
      </w:pPr>
      <w:r w:rsidRPr="00B7191B">
        <w:rPr>
          <w:b/>
          <w:szCs w:val="21"/>
        </w:rPr>
        <w:t xml:space="preserve">B. </w:t>
      </w:r>
      <w:r w:rsidRPr="00B7191B">
        <w:rPr>
          <w:rFonts w:hint="eastAsia"/>
          <w:b/>
          <w:szCs w:val="21"/>
        </w:rPr>
        <w:t>报纸类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〕李德明：“中国法律起源模式探讨”，载《法制日报》</w:t>
      </w:r>
      <w:r w:rsidRPr="00B7191B">
        <w:rPr>
          <w:szCs w:val="21"/>
        </w:rPr>
        <w:t>1999</w:t>
      </w:r>
      <w:r w:rsidRPr="00B7191B">
        <w:rPr>
          <w:rFonts w:hint="eastAsia"/>
          <w:szCs w:val="21"/>
        </w:rPr>
        <w:t>年</w:t>
      </w:r>
      <w:r w:rsidRPr="00B7191B">
        <w:rPr>
          <w:szCs w:val="21"/>
        </w:rPr>
        <w:t>3</w:t>
      </w:r>
      <w:r w:rsidRPr="00B7191B">
        <w:rPr>
          <w:rFonts w:hint="eastAsia"/>
          <w:szCs w:val="21"/>
        </w:rPr>
        <w:t>月</w:t>
      </w:r>
      <w:r w:rsidRPr="00B7191B">
        <w:rPr>
          <w:szCs w:val="21"/>
        </w:rPr>
        <w:t>4</w:t>
      </w:r>
      <w:r w:rsidRPr="00B7191B">
        <w:rPr>
          <w:rFonts w:hint="eastAsia"/>
          <w:szCs w:val="21"/>
        </w:rPr>
        <w:t>日。</w:t>
      </w:r>
    </w:p>
    <w:p w:rsidR="00A51C0F" w:rsidRPr="00B7191B" w:rsidRDefault="00A51C0F" w:rsidP="00A51C0F">
      <w:pPr>
        <w:spacing w:line="360" w:lineRule="auto"/>
        <w:ind w:firstLineChars="196" w:firstLine="413"/>
        <w:rPr>
          <w:b/>
          <w:szCs w:val="21"/>
        </w:rPr>
      </w:pPr>
      <w:r w:rsidRPr="00B7191B">
        <w:rPr>
          <w:b/>
          <w:szCs w:val="21"/>
        </w:rPr>
        <w:t xml:space="preserve">C. </w:t>
      </w:r>
      <w:r w:rsidRPr="00B7191B">
        <w:rPr>
          <w:rFonts w:hint="eastAsia"/>
          <w:b/>
          <w:szCs w:val="21"/>
        </w:rPr>
        <w:t>未刊文献类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〕耿林：“强制规范对合同效力影响之法律适用与具体判断标准研究”（未发表）。</w:t>
      </w:r>
    </w:p>
    <w:p w:rsidR="00A51C0F" w:rsidRPr="00B7191B" w:rsidRDefault="00A51C0F" w:rsidP="00A51C0F">
      <w:pPr>
        <w:spacing w:line="360" w:lineRule="auto"/>
        <w:ind w:firstLineChars="196" w:firstLine="413"/>
        <w:rPr>
          <w:szCs w:val="21"/>
        </w:rPr>
      </w:pPr>
      <w:r w:rsidRPr="00B7191B">
        <w:rPr>
          <w:b/>
          <w:szCs w:val="21"/>
        </w:rPr>
        <w:t xml:space="preserve">D. </w:t>
      </w:r>
      <w:r w:rsidRPr="00B7191B">
        <w:rPr>
          <w:rFonts w:hint="eastAsia"/>
          <w:b/>
          <w:szCs w:val="21"/>
        </w:rPr>
        <w:t>学位论文类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〕王涌：“私权的分析与建构——民法的分析法学基础”，中国政法大学</w:t>
      </w:r>
      <w:r w:rsidRPr="00B7191B">
        <w:rPr>
          <w:szCs w:val="21"/>
        </w:rPr>
        <w:t>1999</w:t>
      </w:r>
      <w:r w:rsidRPr="00B7191B">
        <w:rPr>
          <w:rFonts w:hint="eastAsia"/>
          <w:szCs w:val="21"/>
        </w:rPr>
        <w:t>年博士学位论文，第</w:t>
      </w:r>
      <w:r w:rsidRPr="00B7191B">
        <w:rPr>
          <w:szCs w:val="21"/>
        </w:rPr>
        <w:t>76</w:t>
      </w:r>
      <w:r w:rsidRPr="00B7191B">
        <w:rPr>
          <w:rFonts w:hint="eastAsia"/>
          <w:szCs w:val="21"/>
        </w:rPr>
        <w:t>页。</w:t>
      </w:r>
    </w:p>
    <w:p w:rsidR="00A51C0F" w:rsidRPr="00B7191B" w:rsidRDefault="00A51C0F" w:rsidP="00A51C0F">
      <w:pPr>
        <w:spacing w:line="360" w:lineRule="auto"/>
        <w:ind w:firstLineChars="196" w:firstLine="413"/>
        <w:rPr>
          <w:b/>
          <w:szCs w:val="21"/>
        </w:rPr>
      </w:pPr>
      <w:r w:rsidRPr="00B7191B">
        <w:rPr>
          <w:b/>
          <w:szCs w:val="21"/>
        </w:rPr>
        <w:t xml:space="preserve">E. </w:t>
      </w:r>
      <w:r w:rsidRPr="00B7191B">
        <w:rPr>
          <w:rFonts w:hint="eastAsia"/>
          <w:b/>
          <w:szCs w:val="21"/>
        </w:rPr>
        <w:t>会议论文类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〕任东来：“对国际体制和国际制度的理解和翻译”，载《全球化与亚太区域化国际研讨会论文》（天津，</w:t>
      </w:r>
      <w:r w:rsidRPr="00B7191B">
        <w:rPr>
          <w:szCs w:val="21"/>
        </w:rPr>
        <w:t>2000</w:t>
      </w:r>
      <w:r w:rsidRPr="00B7191B">
        <w:rPr>
          <w:rFonts w:hint="eastAsia"/>
          <w:szCs w:val="21"/>
        </w:rPr>
        <w:t>年</w:t>
      </w:r>
      <w:r w:rsidRPr="00B7191B">
        <w:rPr>
          <w:szCs w:val="21"/>
        </w:rPr>
        <w:t>6</w:t>
      </w:r>
      <w:r w:rsidRPr="00B7191B">
        <w:rPr>
          <w:rFonts w:hint="eastAsia"/>
          <w:szCs w:val="21"/>
        </w:rPr>
        <w:t>月），第</w:t>
      </w:r>
      <w:r w:rsidRPr="00B7191B">
        <w:rPr>
          <w:szCs w:val="21"/>
        </w:rPr>
        <w:t>9</w:t>
      </w:r>
      <w:r w:rsidRPr="00B7191B">
        <w:rPr>
          <w:rFonts w:hint="eastAsia"/>
          <w:szCs w:val="21"/>
        </w:rPr>
        <w:t>页。</w:t>
      </w:r>
    </w:p>
    <w:p w:rsidR="00A51C0F" w:rsidRPr="00B7191B" w:rsidRDefault="00A51C0F" w:rsidP="00A51C0F">
      <w:pPr>
        <w:spacing w:line="360" w:lineRule="auto"/>
        <w:ind w:firstLineChars="196" w:firstLine="413"/>
        <w:rPr>
          <w:b/>
          <w:szCs w:val="21"/>
        </w:rPr>
      </w:pPr>
      <w:r w:rsidRPr="00B7191B">
        <w:rPr>
          <w:b/>
          <w:szCs w:val="21"/>
        </w:rPr>
        <w:t xml:space="preserve">F. </w:t>
      </w:r>
      <w:r w:rsidRPr="00B7191B">
        <w:rPr>
          <w:rFonts w:hint="eastAsia"/>
          <w:b/>
          <w:szCs w:val="21"/>
        </w:rPr>
        <w:t>电子文献类</w:t>
      </w:r>
    </w:p>
    <w:p w:rsidR="00A51C0F" w:rsidRPr="00B7191B" w:rsidRDefault="00A51C0F" w:rsidP="00A51C0F">
      <w:pPr>
        <w:spacing w:line="360" w:lineRule="auto"/>
        <w:ind w:firstLineChars="200" w:firstLine="420"/>
        <w:rPr>
          <w:szCs w:val="21"/>
        </w:rPr>
      </w:pPr>
      <w:r w:rsidRPr="00B7191B">
        <w:rPr>
          <w:rFonts w:hint="eastAsia"/>
          <w:szCs w:val="21"/>
        </w:rPr>
        <w:t>〔</w:t>
      </w:r>
      <w:r w:rsidRPr="00B7191B">
        <w:rPr>
          <w:szCs w:val="21"/>
        </w:rPr>
        <w:t>1</w:t>
      </w:r>
      <w:r w:rsidRPr="00B7191B">
        <w:rPr>
          <w:rFonts w:hint="eastAsia"/>
          <w:szCs w:val="21"/>
        </w:rPr>
        <w:t>〕林国荣：“自然法传统中的霍布斯”，</w:t>
      </w:r>
      <w:r w:rsidRPr="00B7191B">
        <w:rPr>
          <w:szCs w:val="21"/>
        </w:rPr>
        <w:t>http://www.china-review.com/main.asp?title=hbs</w:t>
      </w:r>
      <w:r w:rsidRPr="00B7191B">
        <w:rPr>
          <w:rFonts w:hint="eastAsia"/>
          <w:szCs w:val="21"/>
        </w:rPr>
        <w:t>，最后访问时间：</w:t>
      </w:r>
      <w:r w:rsidRPr="00B7191B">
        <w:rPr>
          <w:szCs w:val="21"/>
        </w:rPr>
        <w:t>2003</w:t>
      </w:r>
      <w:r w:rsidRPr="00B7191B">
        <w:rPr>
          <w:rFonts w:hint="eastAsia"/>
          <w:szCs w:val="21"/>
        </w:rPr>
        <w:t>年</w:t>
      </w:r>
      <w:r w:rsidRPr="00B7191B">
        <w:rPr>
          <w:szCs w:val="21"/>
        </w:rPr>
        <w:t>2</w:t>
      </w:r>
      <w:r w:rsidRPr="00B7191B">
        <w:rPr>
          <w:rFonts w:hint="eastAsia"/>
          <w:szCs w:val="21"/>
        </w:rPr>
        <w:t>月</w:t>
      </w:r>
      <w:r w:rsidRPr="00B7191B">
        <w:rPr>
          <w:szCs w:val="21"/>
        </w:rPr>
        <w:t>23</w:t>
      </w:r>
      <w:r w:rsidRPr="00B7191B">
        <w:rPr>
          <w:rFonts w:hint="eastAsia"/>
          <w:szCs w:val="21"/>
        </w:rPr>
        <w:t>日。</w:t>
      </w:r>
    </w:p>
    <w:p w:rsidR="00A51C0F" w:rsidRPr="00B7191B" w:rsidRDefault="00A51C0F" w:rsidP="00A51C0F">
      <w:pPr>
        <w:spacing w:line="360" w:lineRule="auto"/>
        <w:rPr>
          <w:rFonts w:ascii="黑体" w:eastAsia="黑体" w:hAnsi="黑体"/>
          <w:b/>
          <w:sz w:val="24"/>
        </w:rPr>
      </w:pPr>
      <w:r w:rsidRPr="00B7191B">
        <w:br w:type="page"/>
      </w:r>
      <w:r w:rsidRPr="00B7191B">
        <w:rPr>
          <w:rFonts w:ascii="黑体" w:eastAsia="黑体" w:hAnsi="黑体" w:hint="eastAsia"/>
          <w:b/>
          <w:sz w:val="24"/>
        </w:rPr>
        <w:lastRenderedPageBreak/>
        <w:t>附录二：英文注释体例</w:t>
      </w:r>
    </w:p>
    <w:p w:rsidR="00303BFF" w:rsidRPr="00A51C0F" w:rsidRDefault="0014578F" w:rsidP="00A51C0F">
      <w:pPr>
        <w:spacing w:line="360" w:lineRule="auto"/>
        <w:ind w:firstLine="360"/>
        <w:jc w:val="center"/>
        <w:rPr>
          <w:rFonts w:ascii="黑体" w:eastAsia="黑体" w:hAnsi="黑体"/>
          <w:b/>
          <w:sz w:val="28"/>
          <w:szCs w:val="28"/>
        </w:rPr>
      </w:pPr>
      <w:r w:rsidRPr="00A51C0F">
        <w:rPr>
          <w:rFonts w:ascii="黑体" w:eastAsia="黑体" w:hAnsi="黑体"/>
          <w:b/>
          <w:sz w:val="28"/>
          <w:szCs w:val="28"/>
        </w:rPr>
        <w:t>英文注释体例</w:t>
      </w:r>
      <w:bookmarkStart w:id="0" w:name="_GoBack"/>
      <w:bookmarkEnd w:id="0"/>
    </w:p>
    <w:p w:rsidR="00303BFF" w:rsidRPr="00303BFF" w:rsidRDefault="0014578F" w:rsidP="00A51C0F">
      <w:pPr>
        <w:spacing w:line="360" w:lineRule="auto"/>
        <w:ind w:firstLine="360"/>
        <w:rPr>
          <w:b/>
          <w:sz w:val="24"/>
          <w:szCs w:val="24"/>
        </w:rPr>
      </w:pPr>
      <w:r w:rsidRPr="00303BFF">
        <w:rPr>
          <w:rFonts w:hint="eastAsia"/>
          <w:b/>
          <w:sz w:val="24"/>
          <w:szCs w:val="24"/>
        </w:rPr>
        <w:t>一、一般规则</w:t>
      </w:r>
    </w:p>
    <w:p w:rsidR="0014578F" w:rsidRPr="002D3821" w:rsidRDefault="0014578F" w:rsidP="00A51C0F">
      <w:pPr>
        <w:spacing w:line="360" w:lineRule="auto"/>
        <w:ind w:firstLine="360"/>
      </w:pPr>
      <w:r w:rsidRPr="002D3821">
        <w:rPr>
          <w:rFonts w:hint="eastAsia"/>
        </w:rPr>
        <w:t xml:space="preserve">1. </w:t>
      </w:r>
      <w:r w:rsidRPr="002D3821">
        <w:rPr>
          <w:rFonts w:hint="eastAsia"/>
        </w:rPr>
        <w:t>英文注释从其注释习惯。其他文种注释从该文种注释习惯，亦可参照英文注释。</w:t>
      </w:r>
    </w:p>
    <w:p w:rsidR="0014578F" w:rsidRPr="002D3821" w:rsidRDefault="0014578F" w:rsidP="00A51C0F">
      <w:pPr>
        <w:spacing w:line="360" w:lineRule="auto"/>
        <w:ind w:firstLine="360"/>
      </w:pPr>
      <w:r w:rsidRPr="002D3821">
        <w:rPr>
          <w:rFonts w:hint="eastAsia"/>
        </w:rPr>
        <w:t xml:space="preserve">2. </w:t>
      </w:r>
      <w:r w:rsidRPr="002D3821">
        <w:rPr>
          <w:rFonts w:hint="eastAsia"/>
        </w:rPr>
        <w:t>译文原注释中的评论性或说明性文字应译为中文。</w:t>
      </w:r>
    </w:p>
    <w:p w:rsidR="0014578F" w:rsidRPr="002D3821" w:rsidRDefault="0014578F" w:rsidP="00A51C0F">
      <w:pPr>
        <w:spacing w:line="360" w:lineRule="auto"/>
        <w:ind w:firstLine="360"/>
      </w:pPr>
      <w:r w:rsidRPr="002D3821">
        <w:rPr>
          <w:rFonts w:hint="eastAsia"/>
        </w:rPr>
        <w:t xml:space="preserve">3. </w:t>
      </w:r>
      <w:r w:rsidRPr="002D3821">
        <w:rPr>
          <w:rFonts w:hint="eastAsia"/>
        </w:rPr>
        <w:t>作者姓名以“名前姓后”的顺序书写。多个作者的，在最后两位作者之间用“</w:t>
      </w:r>
      <w:r w:rsidRPr="002D3821">
        <w:rPr>
          <w:rFonts w:hint="eastAsia"/>
        </w:rPr>
        <w:t>and</w:t>
      </w:r>
      <w:r w:rsidRPr="002D3821">
        <w:rPr>
          <w:rFonts w:hint="eastAsia"/>
        </w:rPr>
        <w:t>”或“</w:t>
      </w:r>
      <w:r w:rsidRPr="002D3821">
        <w:rPr>
          <w:rFonts w:hint="eastAsia"/>
        </w:rPr>
        <w:t>&amp;</w:t>
      </w:r>
      <w:r w:rsidRPr="002D3821">
        <w:rPr>
          <w:rFonts w:hint="eastAsia"/>
        </w:rPr>
        <w:t>”连接；作者为三人以上，也可只注明第一作者，其后用“</w:t>
      </w:r>
      <w:r w:rsidRPr="002D3821">
        <w:rPr>
          <w:rFonts w:hint="eastAsia"/>
        </w:rPr>
        <w:t>et al.</w:t>
      </w:r>
      <w:r w:rsidRPr="002D3821">
        <w:rPr>
          <w:rFonts w:hint="eastAsia"/>
        </w:rPr>
        <w:t>”</w:t>
      </w:r>
      <w:r w:rsidRPr="002D3821">
        <w:rPr>
          <w:rFonts w:hint="eastAsia"/>
        </w:rPr>
        <w:t>(</w:t>
      </w:r>
      <w:r w:rsidRPr="002D3821">
        <w:rPr>
          <w:rFonts w:hint="eastAsia"/>
        </w:rPr>
        <w:t>意即</w:t>
      </w:r>
      <w:r w:rsidRPr="002D3821">
        <w:rPr>
          <w:rFonts w:hint="eastAsia"/>
        </w:rPr>
        <w:t>and others)</w:t>
      </w:r>
      <w:r w:rsidRPr="002D3821">
        <w:rPr>
          <w:rFonts w:hint="eastAsia"/>
        </w:rPr>
        <w:t>标注。</w:t>
      </w:r>
    </w:p>
    <w:p w:rsidR="0014578F" w:rsidRPr="002D3821" w:rsidRDefault="0014578F" w:rsidP="00A51C0F">
      <w:pPr>
        <w:spacing w:line="360" w:lineRule="auto"/>
        <w:ind w:firstLine="360"/>
      </w:pPr>
      <w:r w:rsidRPr="002D3821">
        <w:rPr>
          <w:rFonts w:hint="eastAsia"/>
        </w:rPr>
        <w:t xml:space="preserve">4. </w:t>
      </w:r>
      <w:r w:rsidR="00602BE3" w:rsidRPr="002D3821">
        <w:rPr>
          <w:rFonts w:hint="eastAsia"/>
        </w:rPr>
        <w:t>See(</w:t>
      </w:r>
      <w:r w:rsidR="00602BE3" w:rsidRPr="002D3821">
        <w:rPr>
          <w:rFonts w:hint="eastAsia"/>
        </w:rPr>
        <w:t>参见</w:t>
      </w:r>
      <w:r w:rsidR="00602BE3" w:rsidRPr="002D3821">
        <w:rPr>
          <w:rFonts w:hint="eastAsia"/>
        </w:rPr>
        <w:t>)</w:t>
      </w:r>
      <w:r w:rsidR="00602BE3" w:rsidRPr="002D3821">
        <w:rPr>
          <w:rFonts w:hint="eastAsia"/>
        </w:rPr>
        <w:t>的用法</w:t>
      </w:r>
      <w:r w:rsidR="00602BE3" w:rsidRPr="002D3821">
        <w:rPr>
          <w:rFonts w:hint="eastAsia"/>
        </w:rPr>
        <w:t xml:space="preserve">: </w:t>
      </w:r>
      <w:r w:rsidR="00602BE3" w:rsidRPr="002D3821">
        <w:rPr>
          <w:rFonts w:hint="eastAsia"/>
        </w:rPr>
        <w:t>首字母大写并使用斜体。但是，当</w:t>
      </w:r>
      <w:r w:rsidR="00602BE3" w:rsidRPr="002D3821">
        <w:rPr>
          <w:rFonts w:hint="eastAsia"/>
        </w:rPr>
        <w:t>See</w:t>
      </w:r>
      <w:r w:rsidR="00602BE3" w:rsidRPr="002D3821">
        <w:rPr>
          <w:rFonts w:hint="eastAsia"/>
        </w:rPr>
        <w:t>后的内容本身应当使用斜体时，</w:t>
      </w:r>
      <w:r w:rsidR="00602BE3" w:rsidRPr="002D3821">
        <w:rPr>
          <w:rFonts w:hint="eastAsia"/>
        </w:rPr>
        <w:t>See</w:t>
      </w:r>
      <w:r w:rsidR="00602BE3" w:rsidRPr="002D3821">
        <w:rPr>
          <w:rFonts w:hint="eastAsia"/>
        </w:rPr>
        <w:t>不倾斜</w:t>
      </w:r>
    </w:p>
    <w:p w:rsidR="00602BE3" w:rsidRPr="002D3821" w:rsidRDefault="00602BE3" w:rsidP="00A51C0F">
      <w:pPr>
        <w:spacing w:line="360" w:lineRule="auto"/>
        <w:ind w:firstLine="360"/>
      </w:pPr>
      <w:r w:rsidRPr="002D3821">
        <w:rPr>
          <w:rFonts w:hint="eastAsia"/>
        </w:rPr>
        <w:t>例如：</w:t>
      </w:r>
    </w:p>
    <w:p w:rsidR="00602BE3" w:rsidRPr="002D3821" w:rsidRDefault="00602BE3" w:rsidP="00A51C0F">
      <w:pPr>
        <w:spacing w:line="360" w:lineRule="auto"/>
        <w:ind w:firstLine="360"/>
      </w:pPr>
      <w:r w:rsidRPr="002D3821">
        <w:rPr>
          <w:rFonts w:hint="eastAsia"/>
          <w:i/>
        </w:rPr>
        <w:t>See</w:t>
      </w:r>
      <w:r w:rsidRPr="002D3821">
        <w:rPr>
          <w:rFonts w:hint="eastAsia"/>
        </w:rPr>
        <w:t xml:space="preserve"> </w:t>
      </w:r>
      <w:r w:rsidRPr="002D3821">
        <w:t xml:space="preserve">HLA Hart, The Concept of Law </w:t>
      </w:r>
      <w:r w:rsidR="007A6AE5" w:rsidRPr="002D3821">
        <w:t xml:space="preserve">(2nd </w:t>
      </w:r>
      <w:proofErr w:type="spellStart"/>
      <w:r w:rsidR="007A6AE5" w:rsidRPr="002D3821">
        <w:t>edn</w:t>
      </w:r>
      <w:proofErr w:type="spellEnd"/>
      <w:r w:rsidR="007A6AE5" w:rsidRPr="002D3821">
        <w:t>, Clarendon Press 1994)</w:t>
      </w:r>
      <w:r w:rsidR="007A6AE5" w:rsidRPr="002D3821">
        <w:rPr>
          <w:rFonts w:hint="eastAsia"/>
        </w:rPr>
        <w:t xml:space="preserve"> p. </w:t>
      </w:r>
      <w:r w:rsidRPr="002D3821">
        <w:t>135.</w:t>
      </w:r>
    </w:p>
    <w:p w:rsidR="00602BE3" w:rsidRPr="002D3821" w:rsidRDefault="007A6AE5" w:rsidP="00A51C0F">
      <w:pPr>
        <w:spacing w:line="360" w:lineRule="auto"/>
        <w:ind w:firstLine="360"/>
      </w:pPr>
      <w:r w:rsidRPr="002D3821">
        <w:t xml:space="preserve">See </w:t>
      </w:r>
      <w:proofErr w:type="spellStart"/>
      <w:r w:rsidR="00602BE3" w:rsidRPr="002D3821">
        <w:rPr>
          <w:i/>
        </w:rPr>
        <w:t>Torette</w:t>
      </w:r>
      <w:proofErr w:type="spellEnd"/>
      <w:r w:rsidR="00602BE3" w:rsidRPr="002D3821">
        <w:rPr>
          <w:i/>
        </w:rPr>
        <w:t xml:space="preserve"> House Pty Ltd v Berkman </w:t>
      </w:r>
      <w:r w:rsidR="00602BE3" w:rsidRPr="002D3821">
        <w:t xml:space="preserve">(1939) 62 CLR </w:t>
      </w:r>
      <w:r w:rsidRPr="002D3821">
        <w:rPr>
          <w:rFonts w:hint="eastAsia"/>
        </w:rPr>
        <w:t xml:space="preserve">p. </w:t>
      </w:r>
      <w:r w:rsidRPr="002D3821">
        <w:t>637</w:t>
      </w:r>
      <w:r w:rsidRPr="002D3821">
        <w:rPr>
          <w:rFonts w:hint="eastAsia"/>
        </w:rPr>
        <w:t>-</w:t>
      </w:r>
      <w:r w:rsidR="00602BE3" w:rsidRPr="002D3821">
        <w:t>659</w:t>
      </w:r>
    </w:p>
    <w:p w:rsidR="0014578F" w:rsidRPr="002D3821" w:rsidRDefault="0014578F" w:rsidP="00A51C0F">
      <w:pPr>
        <w:spacing w:line="360" w:lineRule="auto"/>
        <w:ind w:firstLine="360"/>
      </w:pPr>
      <w:r w:rsidRPr="002D3821">
        <w:rPr>
          <w:rFonts w:hint="eastAsia"/>
        </w:rPr>
        <w:t xml:space="preserve">5. </w:t>
      </w:r>
      <w:r w:rsidRPr="002D3821">
        <w:rPr>
          <w:rFonts w:hint="eastAsia"/>
        </w:rPr>
        <w:t>非引自原始出处的，注释前加“</w:t>
      </w:r>
      <w:r w:rsidRPr="002D3821">
        <w:rPr>
          <w:rFonts w:hint="eastAsia"/>
        </w:rPr>
        <w:t>quoted from</w:t>
      </w:r>
      <w:r w:rsidRPr="002D3821">
        <w:rPr>
          <w:rFonts w:hint="eastAsia"/>
        </w:rPr>
        <w:t>”。</w:t>
      </w:r>
    </w:p>
    <w:p w:rsidR="0014578F" w:rsidRPr="002D3821" w:rsidRDefault="0014578F" w:rsidP="00A51C0F">
      <w:pPr>
        <w:spacing w:line="360" w:lineRule="auto"/>
        <w:ind w:firstLine="360"/>
      </w:pPr>
      <w:r w:rsidRPr="002D3821">
        <w:rPr>
          <w:rFonts w:hint="eastAsia"/>
        </w:rPr>
        <w:t xml:space="preserve">6. </w:t>
      </w:r>
      <w:r w:rsidRPr="002D3821">
        <w:rPr>
          <w:rFonts w:hint="eastAsia"/>
        </w:rPr>
        <w:t>页码用“</w:t>
      </w:r>
      <w:r w:rsidRPr="002D3821">
        <w:rPr>
          <w:rFonts w:hint="eastAsia"/>
        </w:rPr>
        <w:t>p.</w:t>
      </w:r>
      <w:r w:rsidRPr="002D3821">
        <w:rPr>
          <w:rFonts w:hint="eastAsia"/>
        </w:rPr>
        <w:t>”</w:t>
      </w:r>
      <w:r w:rsidRPr="002D3821">
        <w:rPr>
          <w:rFonts w:hint="eastAsia"/>
        </w:rPr>
        <w:t>(</w:t>
      </w:r>
      <w:r w:rsidRPr="002D3821">
        <w:rPr>
          <w:rFonts w:hint="eastAsia"/>
        </w:rPr>
        <w:t>单页</w:t>
      </w:r>
      <w:r w:rsidRPr="002D3821">
        <w:rPr>
          <w:rFonts w:hint="eastAsia"/>
        </w:rPr>
        <w:t>)</w:t>
      </w:r>
      <w:r w:rsidRPr="002D3821">
        <w:rPr>
          <w:rFonts w:hint="eastAsia"/>
        </w:rPr>
        <w:t>或“</w:t>
      </w:r>
      <w:r w:rsidRPr="002D3821">
        <w:rPr>
          <w:rFonts w:hint="eastAsia"/>
        </w:rPr>
        <w:t>pp.</w:t>
      </w:r>
      <w:r w:rsidRPr="002D3821">
        <w:rPr>
          <w:rFonts w:hint="eastAsia"/>
        </w:rPr>
        <w:t>”</w:t>
      </w:r>
      <w:r w:rsidRPr="002D3821">
        <w:rPr>
          <w:rFonts w:hint="eastAsia"/>
        </w:rPr>
        <w:t>(</w:t>
      </w:r>
      <w:r w:rsidRPr="002D3821">
        <w:rPr>
          <w:rFonts w:hint="eastAsia"/>
        </w:rPr>
        <w:t>多页</w:t>
      </w:r>
      <w:r w:rsidRPr="002D3821">
        <w:rPr>
          <w:rFonts w:hint="eastAsia"/>
        </w:rPr>
        <w:t>)</w:t>
      </w:r>
      <w:r w:rsidRPr="002D3821">
        <w:rPr>
          <w:rFonts w:hint="eastAsia"/>
        </w:rPr>
        <w:t>标注；段落用“</w:t>
      </w:r>
      <w:r w:rsidRPr="002D3821">
        <w:rPr>
          <w:rFonts w:hint="eastAsia"/>
        </w:rPr>
        <w:t>para.</w:t>
      </w:r>
      <w:r w:rsidRPr="002D3821">
        <w:rPr>
          <w:rFonts w:hint="eastAsia"/>
        </w:rPr>
        <w:t>”</w:t>
      </w:r>
      <w:r w:rsidRPr="002D3821">
        <w:rPr>
          <w:rFonts w:hint="eastAsia"/>
        </w:rPr>
        <w:t>(</w:t>
      </w:r>
      <w:r w:rsidRPr="002D3821">
        <w:rPr>
          <w:rFonts w:hint="eastAsia"/>
        </w:rPr>
        <w:t>单段</w:t>
      </w:r>
      <w:r w:rsidRPr="002D3821">
        <w:rPr>
          <w:rFonts w:hint="eastAsia"/>
        </w:rPr>
        <w:t>)</w:t>
      </w:r>
      <w:r w:rsidRPr="002D3821">
        <w:rPr>
          <w:rFonts w:hint="eastAsia"/>
        </w:rPr>
        <w:t>或“</w:t>
      </w:r>
      <w:r w:rsidRPr="002D3821">
        <w:rPr>
          <w:rFonts w:hint="eastAsia"/>
        </w:rPr>
        <w:t>paras.</w:t>
      </w:r>
      <w:r w:rsidRPr="002D3821">
        <w:rPr>
          <w:rFonts w:hint="eastAsia"/>
        </w:rPr>
        <w:t>”</w:t>
      </w:r>
      <w:r w:rsidRPr="002D3821">
        <w:rPr>
          <w:rFonts w:hint="eastAsia"/>
        </w:rPr>
        <w:t>(</w:t>
      </w:r>
      <w:r w:rsidRPr="002D3821">
        <w:rPr>
          <w:rFonts w:hint="eastAsia"/>
        </w:rPr>
        <w:t>多段</w:t>
      </w:r>
      <w:r w:rsidRPr="002D3821">
        <w:rPr>
          <w:rFonts w:hint="eastAsia"/>
        </w:rPr>
        <w:t>)</w:t>
      </w:r>
      <w:r w:rsidRPr="002D3821">
        <w:rPr>
          <w:rFonts w:hint="eastAsia"/>
        </w:rPr>
        <w:t>标注；卷次用“</w:t>
      </w:r>
      <w:r w:rsidRPr="002D3821">
        <w:rPr>
          <w:rFonts w:hint="eastAsia"/>
        </w:rPr>
        <w:t>Vol.</w:t>
      </w:r>
      <w:r w:rsidRPr="002D3821">
        <w:rPr>
          <w:rFonts w:hint="eastAsia"/>
        </w:rPr>
        <w:t>”标注；版次用“</w:t>
      </w:r>
      <w:r w:rsidRPr="002D3821">
        <w:rPr>
          <w:rFonts w:hint="eastAsia"/>
        </w:rPr>
        <w:t>ed.</w:t>
      </w:r>
      <w:r w:rsidRPr="002D3821">
        <w:rPr>
          <w:rFonts w:hint="eastAsia"/>
        </w:rPr>
        <w:t>”标注。</w:t>
      </w:r>
    </w:p>
    <w:p w:rsidR="0014578F" w:rsidRPr="002D3821" w:rsidRDefault="0014578F" w:rsidP="00A51C0F">
      <w:pPr>
        <w:spacing w:line="360" w:lineRule="auto"/>
        <w:ind w:firstLine="360"/>
      </w:pPr>
      <w:r w:rsidRPr="002D3821">
        <w:rPr>
          <w:rFonts w:hint="eastAsia"/>
        </w:rPr>
        <w:t xml:space="preserve">7. </w:t>
      </w:r>
      <w:r w:rsidRPr="002D3821">
        <w:rPr>
          <w:rFonts w:hint="eastAsia"/>
        </w:rPr>
        <w:t>不可使用</w:t>
      </w:r>
      <w:r w:rsidRPr="002D3821">
        <w:rPr>
          <w:rFonts w:hint="eastAsia"/>
        </w:rPr>
        <w:t>Ibid</w:t>
      </w:r>
      <w:r w:rsidRPr="002D3821">
        <w:rPr>
          <w:rFonts w:hint="eastAsia"/>
        </w:rPr>
        <w:t>（同上注）。</w:t>
      </w:r>
    </w:p>
    <w:p w:rsidR="0014578F" w:rsidRPr="002D3821" w:rsidRDefault="0014578F" w:rsidP="00A51C0F">
      <w:pPr>
        <w:spacing w:line="360" w:lineRule="auto"/>
        <w:ind w:firstLine="360"/>
      </w:pPr>
      <w:r w:rsidRPr="002D3821">
        <w:rPr>
          <w:rFonts w:hint="eastAsia"/>
        </w:rPr>
        <w:t xml:space="preserve">8. </w:t>
      </w:r>
      <w:r w:rsidRPr="002D3821">
        <w:rPr>
          <w:rFonts w:hint="eastAsia"/>
        </w:rPr>
        <w:t>原则上不可引用互联网资料。如确有必要，须注明详细的网址并括注登陆时间。</w:t>
      </w:r>
    </w:p>
    <w:p w:rsidR="007A6AE5" w:rsidRPr="002D3821" w:rsidRDefault="007A6AE5" w:rsidP="00A51C0F">
      <w:pPr>
        <w:spacing w:line="360" w:lineRule="auto"/>
        <w:ind w:firstLine="360"/>
      </w:pPr>
    </w:p>
    <w:p w:rsidR="00E00F15" w:rsidRPr="00303BFF" w:rsidRDefault="007A6AE5" w:rsidP="00A51C0F">
      <w:pPr>
        <w:spacing w:line="360" w:lineRule="auto"/>
        <w:ind w:firstLine="360"/>
        <w:rPr>
          <w:b/>
          <w:sz w:val="24"/>
          <w:szCs w:val="24"/>
        </w:rPr>
      </w:pPr>
      <w:r w:rsidRPr="00303BFF">
        <w:rPr>
          <w:rFonts w:hint="eastAsia"/>
          <w:b/>
          <w:sz w:val="24"/>
          <w:szCs w:val="24"/>
        </w:rPr>
        <w:t>二、注释例</w:t>
      </w:r>
    </w:p>
    <w:p w:rsidR="007A6AE5" w:rsidRPr="002D3821" w:rsidRDefault="007A6AE5" w:rsidP="00A51C0F">
      <w:pPr>
        <w:spacing w:line="360" w:lineRule="auto"/>
        <w:ind w:firstLine="360"/>
        <w:rPr>
          <w:b/>
        </w:rPr>
      </w:pPr>
      <w:r w:rsidRPr="002D3821">
        <w:rPr>
          <w:rFonts w:hint="eastAsia"/>
          <w:b/>
        </w:rPr>
        <w:t>（一）</w:t>
      </w:r>
      <w:r w:rsidRPr="002D3821">
        <w:rPr>
          <w:rFonts w:hint="eastAsia"/>
          <w:b/>
        </w:rPr>
        <w:t xml:space="preserve"> </w:t>
      </w:r>
      <w:r w:rsidRPr="002D3821">
        <w:rPr>
          <w:rFonts w:hint="eastAsia"/>
          <w:b/>
        </w:rPr>
        <w:t>条约</w:t>
      </w:r>
    </w:p>
    <w:p w:rsidR="00E00F15" w:rsidRPr="002D3821" w:rsidRDefault="007A6AE5" w:rsidP="00A51C0F">
      <w:pPr>
        <w:spacing w:line="360" w:lineRule="auto"/>
        <w:ind w:firstLine="360"/>
      </w:pPr>
      <w:r w:rsidRPr="002D3821">
        <w:rPr>
          <w:rFonts w:hint="eastAsia"/>
        </w:rPr>
        <w:t>一般来讲，学界比较熟悉的条约是无需引用的。只有个别不常用的条约需要引用。且引用时，有中文官方文本的，优先让作者引用中文文本。</w:t>
      </w:r>
    </w:p>
    <w:p w:rsidR="007A6AE5" w:rsidRPr="002D3821" w:rsidRDefault="007A6AE5" w:rsidP="00A51C0F">
      <w:pPr>
        <w:spacing w:line="360" w:lineRule="auto"/>
        <w:ind w:firstLine="360"/>
      </w:pPr>
      <w:r w:rsidRPr="002D3821">
        <w:rPr>
          <w:rFonts w:hint="eastAsia"/>
        </w:rPr>
        <w:t xml:space="preserve">1. </w:t>
      </w:r>
      <w:r w:rsidRPr="002D3821">
        <w:rPr>
          <w:rFonts w:hint="eastAsia"/>
        </w:rPr>
        <w:t>联合国条约序列</w:t>
      </w:r>
    </w:p>
    <w:p w:rsidR="007A6AE5" w:rsidRPr="002D3821" w:rsidRDefault="007A6AE5" w:rsidP="00A51C0F">
      <w:pPr>
        <w:spacing w:line="360" w:lineRule="auto"/>
        <w:ind w:firstLine="360"/>
      </w:pPr>
      <w:r w:rsidRPr="002D3821">
        <w:rPr>
          <w:rFonts w:hint="eastAsia"/>
        </w:rPr>
        <w:t>名称（缔结时间，生效时间</w:t>
      </w:r>
      <w:r w:rsidR="008D0934" w:rsidRPr="002D3821">
        <w:rPr>
          <w:rFonts w:hint="eastAsia"/>
        </w:rPr>
        <w:t>/</w:t>
      </w:r>
      <w:r w:rsidR="008D0934" w:rsidRPr="002D3821">
        <w:rPr>
          <w:rFonts w:hint="eastAsia"/>
        </w:rPr>
        <w:t>开放签字时间</w:t>
      </w:r>
      <w:r w:rsidRPr="002D3821">
        <w:rPr>
          <w:rFonts w:hint="eastAsia"/>
        </w:rPr>
        <w:t>）</w:t>
      </w:r>
      <w:r w:rsidR="008D0934" w:rsidRPr="002D3821">
        <w:rPr>
          <w:rFonts w:hint="eastAsia"/>
        </w:rPr>
        <w:t>卷</w:t>
      </w:r>
      <w:r w:rsidR="008D0934" w:rsidRPr="002D3821">
        <w:rPr>
          <w:rFonts w:hint="eastAsia"/>
        </w:rPr>
        <w:t xml:space="preserve"> UNTS(United Nations Treaty Series)/</w:t>
      </w:r>
      <w:r w:rsidR="008D0934" w:rsidRPr="002D3821">
        <w:t xml:space="preserve"> </w:t>
      </w:r>
      <w:r w:rsidR="008D0934" w:rsidRPr="002D3821">
        <w:rPr>
          <w:rFonts w:hint="eastAsia"/>
        </w:rPr>
        <w:t>1960</w:t>
      </w:r>
      <w:r w:rsidR="008D0934" w:rsidRPr="002D3821">
        <w:rPr>
          <w:rFonts w:hint="eastAsia"/>
        </w:rPr>
        <w:t>年之前的条约</w:t>
      </w:r>
      <w:r w:rsidR="008D0934" w:rsidRPr="002D3821">
        <w:rPr>
          <w:rFonts w:hint="eastAsia"/>
        </w:rPr>
        <w:t>--ILM (</w:t>
      </w:r>
      <w:r w:rsidR="008D0934" w:rsidRPr="002D3821">
        <w:t>International Legal Materials</w:t>
      </w:r>
      <w:r w:rsidR="008D0934" w:rsidRPr="002D3821">
        <w:rPr>
          <w:rFonts w:hint="eastAsia"/>
        </w:rPr>
        <w:t>)</w:t>
      </w:r>
      <w:r w:rsidR="008D0934" w:rsidRPr="002D3821">
        <w:t xml:space="preserve"> </w:t>
      </w:r>
      <w:r w:rsidR="008D0934" w:rsidRPr="002D3821">
        <w:rPr>
          <w:rFonts w:hint="eastAsia"/>
        </w:rPr>
        <w:t xml:space="preserve"> </w:t>
      </w:r>
      <w:r w:rsidR="008D0934" w:rsidRPr="002D3821">
        <w:rPr>
          <w:rFonts w:hint="eastAsia"/>
        </w:rPr>
        <w:t>页（简称（如有）），第。。。条</w:t>
      </w:r>
    </w:p>
    <w:p w:rsidR="007A6AE5" w:rsidRPr="002D3821" w:rsidRDefault="007A6AE5" w:rsidP="00A51C0F">
      <w:pPr>
        <w:spacing w:line="360" w:lineRule="auto"/>
        <w:ind w:firstLine="360"/>
      </w:pPr>
      <w:r w:rsidRPr="002D3821">
        <w:t>International Covenant on Civil and Political Rights (adopted 16 December 1966, entered into force 23 March 1976) 999 UNTS 171 (ICCPR)</w:t>
      </w:r>
      <w:r w:rsidRPr="002D3821">
        <w:rPr>
          <w:rFonts w:hint="eastAsia"/>
        </w:rPr>
        <w:t xml:space="preserve">, </w:t>
      </w:r>
      <w:proofErr w:type="spellStart"/>
      <w:r w:rsidRPr="002D3821">
        <w:rPr>
          <w:rFonts w:hint="eastAsia"/>
        </w:rPr>
        <w:t>art.xxx</w:t>
      </w:r>
      <w:proofErr w:type="spellEnd"/>
      <w:r w:rsidR="008D0934" w:rsidRPr="002D3821">
        <w:rPr>
          <w:rFonts w:hint="eastAsia"/>
        </w:rPr>
        <w:t>.</w:t>
      </w:r>
    </w:p>
    <w:p w:rsidR="008D0934" w:rsidRPr="002D3821" w:rsidRDefault="008D0934" w:rsidP="00A51C0F">
      <w:pPr>
        <w:spacing w:line="360" w:lineRule="auto"/>
        <w:ind w:firstLine="360"/>
      </w:pPr>
      <w:r w:rsidRPr="002D3821">
        <w:lastRenderedPageBreak/>
        <w:t>UNGA International Convention for the Suppression of the Financing of Terrorism (adopted 9 December 1999, opened for signature 10 January 2000) 39 ILM 270</w:t>
      </w:r>
      <w:r w:rsidRPr="002D3821">
        <w:rPr>
          <w:rFonts w:hint="eastAsia"/>
        </w:rPr>
        <w:t>.</w:t>
      </w:r>
    </w:p>
    <w:p w:rsidR="00E00F15" w:rsidRPr="002D3821" w:rsidRDefault="00E00F15" w:rsidP="00A51C0F">
      <w:pPr>
        <w:spacing w:line="360" w:lineRule="auto"/>
        <w:ind w:firstLine="360"/>
      </w:pPr>
    </w:p>
    <w:p w:rsidR="008D0934" w:rsidRPr="002D3821" w:rsidRDefault="008D0934" w:rsidP="00A51C0F">
      <w:pPr>
        <w:spacing w:line="360" w:lineRule="auto"/>
        <w:ind w:firstLine="360"/>
      </w:pPr>
      <w:r w:rsidRPr="002D3821">
        <w:rPr>
          <w:rFonts w:hint="eastAsia"/>
        </w:rPr>
        <w:t xml:space="preserve">2. </w:t>
      </w:r>
      <w:r w:rsidRPr="002D3821">
        <w:rPr>
          <w:rFonts w:hint="eastAsia"/>
        </w:rPr>
        <w:t>国际联盟条约序列</w:t>
      </w:r>
    </w:p>
    <w:p w:rsidR="008D0934" w:rsidRPr="002D3821" w:rsidRDefault="008D0934" w:rsidP="00A51C0F">
      <w:pPr>
        <w:spacing w:line="360" w:lineRule="auto"/>
        <w:ind w:firstLine="360"/>
      </w:pPr>
      <w:r w:rsidRPr="002D3821">
        <w:rPr>
          <w:rFonts w:hint="eastAsia"/>
        </w:rPr>
        <w:t>基本同上，只是这里条约序列的名称是</w:t>
      </w:r>
      <w:r w:rsidRPr="002D3821">
        <w:rPr>
          <w:rFonts w:hint="eastAsia"/>
        </w:rPr>
        <w:t>LNTS(League of Nations Treaty Series)</w:t>
      </w:r>
    </w:p>
    <w:p w:rsidR="008D0934" w:rsidRPr="002D3821" w:rsidRDefault="008D0934" w:rsidP="00A51C0F">
      <w:pPr>
        <w:spacing w:line="360" w:lineRule="auto"/>
        <w:ind w:firstLine="360"/>
      </w:pPr>
      <w:r w:rsidRPr="002D3821">
        <w:t>Slavery Convention (adopted 25 September 1926, entered into force 9 March 1927) 60 LNTS 253</w:t>
      </w:r>
      <w:r w:rsidRPr="002D3821">
        <w:rPr>
          <w:rFonts w:hint="eastAsia"/>
        </w:rPr>
        <w:t>.</w:t>
      </w:r>
    </w:p>
    <w:p w:rsidR="00E00F15" w:rsidRPr="002D3821" w:rsidRDefault="00E00F15" w:rsidP="00A51C0F">
      <w:pPr>
        <w:spacing w:line="360" w:lineRule="auto"/>
        <w:ind w:firstLine="360"/>
      </w:pPr>
    </w:p>
    <w:p w:rsidR="008D0934" w:rsidRPr="002D3821" w:rsidRDefault="008D0934" w:rsidP="00A51C0F">
      <w:pPr>
        <w:spacing w:line="360" w:lineRule="auto"/>
        <w:ind w:firstLine="360"/>
      </w:pPr>
      <w:r w:rsidRPr="002D3821">
        <w:rPr>
          <w:rFonts w:hint="eastAsia"/>
        </w:rPr>
        <w:t>3. GATT/WTO</w:t>
      </w:r>
      <w:r w:rsidRPr="002D3821">
        <w:rPr>
          <w:rFonts w:hint="eastAsia"/>
        </w:rPr>
        <w:t>下的协定</w:t>
      </w:r>
    </w:p>
    <w:p w:rsidR="008D0934" w:rsidRPr="002D3821" w:rsidRDefault="008D0934" w:rsidP="00A51C0F">
      <w:pPr>
        <w:spacing w:line="360" w:lineRule="auto"/>
        <w:ind w:firstLine="360"/>
      </w:pPr>
      <w:r w:rsidRPr="002D3821">
        <w:t xml:space="preserve">Agreement on Agriculture (15 April 1994) LT/UR/A-1A/2 art 2 </w:t>
      </w:r>
    </w:p>
    <w:p w:rsidR="008D0934" w:rsidRPr="002D3821" w:rsidRDefault="00F12449" w:rsidP="00A51C0F">
      <w:pPr>
        <w:spacing w:line="360" w:lineRule="auto"/>
        <w:ind w:firstLine="360"/>
      </w:pPr>
      <w:hyperlink r:id="rId7" w:history="1">
        <w:r w:rsidR="008D0934" w:rsidRPr="002D3821">
          <w:rPr>
            <w:rStyle w:val="a3"/>
          </w:rPr>
          <w:t>http://docsonline.wto.org</w:t>
        </w:r>
      </w:hyperlink>
    </w:p>
    <w:p w:rsidR="00AC1ABD" w:rsidRPr="002D3821" w:rsidRDefault="00AC1ABD" w:rsidP="00A51C0F">
      <w:pPr>
        <w:spacing w:line="360" w:lineRule="auto"/>
        <w:ind w:firstLine="360"/>
        <w:rPr>
          <w:b/>
        </w:rPr>
      </w:pPr>
      <w:r w:rsidRPr="002D3821">
        <w:rPr>
          <w:rFonts w:hint="eastAsia"/>
          <w:b/>
        </w:rPr>
        <w:t>（二）</w:t>
      </w:r>
      <w:r w:rsidRPr="002D3821">
        <w:rPr>
          <w:rFonts w:hint="eastAsia"/>
          <w:b/>
        </w:rPr>
        <w:t xml:space="preserve"> </w:t>
      </w:r>
      <w:r w:rsidRPr="002D3821">
        <w:rPr>
          <w:rFonts w:hint="eastAsia"/>
          <w:b/>
        </w:rPr>
        <w:t>国际司法机构判例</w:t>
      </w:r>
    </w:p>
    <w:p w:rsidR="00AC1ABD" w:rsidRPr="002D3821" w:rsidRDefault="00AC1ABD" w:rsidP="00A51C0F">
      <w:pPr>
        <w:spacing w:line="360" w:lineRule="auto"/>
        <w:ind w:firstLine="360"/>
      </w:pPr>
      <w:r w:rsidRPr="002D3821">
        <w:rPr>
          <w:rFonts w:hint="eastAsia"/>
        </w:rPr>
        <w:t xml:space="preserve">1. </w:t>
      </w:r>
      <w:r w:rsidRPr="002D3821">
        <w:rPr>
          <w:rFonts w:hint="eastAsia"/>
        </w:rPr>
        <w:t>国际法院</w:t>
      </w:r>
      <w:r w:rsidR="00011E8A" w:rsidRPr="002D3821">
        <w:rPr>
          <w:rFonts w:hint="eastAsia"/>
        </w:rPr>
        <w:t>(ICJ)</w:t>
      </w:r>
      <w:r w:rsidRPr="002D3821">
        <w:rPr>
          <w:rFonts w:hint="eastAsia"/>
        </w:rPr>
        <w:t>和国际常设法院（</w:t>
      </w:r>
      <w:r w:rsidRPr="002D3821">
        <w:rPr>
          <w:rFonts w:cs="Garamond"/>
          <w:color w:val="000000"/>
          <w:sz w:val="23"/>
          <w:szCs w:val="23"/>
        </w:rPr>
        <w:t>The Permanent Court of International Justice</w:t>
      </w:r>
      <w:r w:rsidR="00011E8A" w:rsidRPr="002D3821">
        <w:rPr>
          <w:rFonts w:cs="Garamond"/>
          <w:color w:val="000000"/>
          <w:sz w:val="23"/>
          <w:szCs w:val="23"/>
        </w:rPr>
        <w:t>，</w:t>
      </w:r>
      <w:r w:rsidR="00011E8A" w:rsidRPr="002D3821">
        <w:rPr>
          <w:rFonts w:cs="Garamond" w:hint="eastAsia"/>
          <w:color w:val="000000"/>
          <w:sz w:val="23"/>
          <w:szCs w:val="23"/>
        </w:rPr>
        <w:t>PCIJ</w:t>
      </w:r>
      <w:r w:rsidR="00011E8A" w:rsidRPr="002D3821">
        <w:rPr>
          <w:rFonts w:cs="Garamond" w:hint="eastAsia"/>
          <w:color w:val="000000"/>
          <w:sz w:val="23"/>
          <w:szCs w:val="23"/>
        </w:rPr>
        <w:t>）</w:t>
      </w:r>
    </w:p>
    <w:p w:rsidR="00AC1ABD" w:rsidRPr="002D3821" w:rsidRDefault="00AC1ABD" w:rsidP="00A51C0F">
      <w:pPr>
        <w:spacing w:line="360" w:lineRule="auto"/>
        <w:ind w:firstLine="360"/>
      </w:pPr>
      <w:r w:rsidRPr="002D3821">
        <w:rPr>
          <w:i/>
        </w:rPr>
        <w:t xml:space="preserve">Corfu Channel Case (UK v Albania) </w:t>
      </w:r>
      <w:r w:rsidRPr="002D3821">
        <w:t xml:space="preserve">(Merits) [1949] ICJ Rep </w:t>
      </w:r>
      <w:r w:rsidR="00B57DDD" w:rsidRPr="002D3821">
        <w:rPr>
          <w:rFonts w:hint="eastAsia"/>
        </w:rPr>
        <w:t xml:space="preserve">4, </w:t>
      </w:r>
      <w:proofErr w:type="spellStart"/>
      <w:r w:rsidRPr="002D3821">
        <w:rPr>
          <w:rFonts w:hint="eastAsia"/>
        </w:rPr>
        <w:t>p.xxx</w:t>
      </w:r>
      <w:proofErr w:type="spellEnd"/>
      <w:r w:rsidRPr="002D3821">
        <w:rPr>
          <w:rFonts w:hint="eastAsia"/>
        </w:rPr>
        <w:t xml:space="preserve">, </w:t>
      </w:r>
      <w:proofErr w:type="spellStart"/>
      <w:r w:rsidRPr="002D3821">
        <w:rPr>
          <w:rFonts w:hint="eastAsia"/>
        </w:rPr>
        <w:t>para.xxx</w:t>
      </w:r>
      <w:proofErr w:type="spellEnd"/>
    </w:p>
    <w:p w:rsidR="00AC1ABD" w:rsidRPr="002D3821" w:rsidRDefault="00AC1ABD" w:rsidP="00A51C0F">
      <w:pPr>
        <w:spacing w:line="360" w:lineRule="auto"/>
        <w:ind w:firstLine="360"/>
      </w:pPr>
      <w:r w:rsidRPr="002D3821">
        <w:rPr>
          <w:i/>
        </w:rPr>
        <w:t xml:space="preserve">Land, Island and Maritime Frontier Case (El Salvador/Honduras, Nicaragua intervening) </w:t>
      </w:r>
      <w:r w:rsidRPr="002D3821">
        <w:t xml:space="preserve">(Application for Intervention) [1990] ICJ Rep </w:t>
      </w:r>
      <w:r w:rsidR="00B57DDD" w:rsidRPr="002D3821">
        <w:rPr>
          <w:rFonts w:hint="eastAsia"/>
        </w:rPr>
        <w:t xml:space="preserve">92, </w:t>
      </w:r>
      <w:proofErr w:type="spellStart"/>
      <w:r w:rsidRPr="002D3821">
        <w:rPr>
          <w:rFonts w:hint="eastAsia"/>
        </w:rPr>
        <w:t>p.xxx,para.xxx</w:t>
      </w:r>
      <w:proofErr w:type="spellEnd"/>
      <w:r w:rsidRPr="002D3821">
        <w:rPr>
          <w:rFonts w:hint="eastAsia"/>
        </w:rPr>
        <w:t>.</w:t>
      </w:r>
    </w:p>
    <w:p w:rsidR="00AC1ABD" w:rsidRPr="002D3821" w:rsidRDefault="00AC1ABD" w:rsidP="00A51C0F">
      <w:pPr>
        <w:spacing w:line="360" w:lineRule="auto"/>
        <w:ind w:firstLine="360"/>
      </w:pPr>
      <w:r w:rsidRPr="002D3821">
        <w:rPr>
          <w:i/>
        </w:rPr>
        <w:t xml:space="preserve">Case Concerning the Factory at </w:t>
      </w:r>
      <w:proofErr w:type="spellStart"/>
      <w:r w:rsidRPr="002D3821">
        <w:rPr>
          <w:i/>
        </w:rPr>
        <w:t>Chorzów</w:t>
      </w:r>
      <w:proofErr w:type="spellEnd"/>
      <w:r w:rsidRPr="002D3821">
        <w:rPr>
          <w:i/>
        </w:rPr>
        <w:t xml:space="preserve"> (Germany v Poland) </w:t>
      </w:r>
      <w:r w:rsidRPr="002D3821">
        <w:t>(Merits) PCIJ Rep Series A No 17</w:t>
      </w:r>
      <w:r w:rsidRPr="002D3821">
        <w:rPr>
          <w:rFonts w:hint="eastAsia"/>
        </w:rPr>
        <w:t xml:space="preserve">, </w:t>
      </w:r>
      <w:proofErr w:type="spellStart"/>
      <w:r w:rsidRPr="002D3821">
        <w:rPr>
          <w:rFonts w:hint="eastAsia"/>
        </w:rPr>
        <w:t>p.xxx</w:t>
      </w:r>
      <w:proofErr w:type="spellEnd"/>
      <w:r w:rsidRPr="002D3821">
        <w:rPr>
          <w:rFonts w:hint="eastAsia"/>
        </w:rPr>
        <w:t xml:space="preserve">, </w:t>
      </w:r>
      <w:proofErr w:type="spellStart"/>
      <w:r w:rsidRPr="002D3821">
        <w:rPr>
          <w:rFonts w:hint="eastAsia"/>
        </w:rPr>
        <w:t>para.xxx</w:t>
      </w:r>
      <w:proofErr w:type="spellEnd"/>
      <w:r w:rsidRPr="002D3821">
        <w:rPr>
          <w:rFonts w:hint="eastAsia"/>
        </w:rPr>
        <w:t>.</w:t>
      </w:r>
    </w:p>
    <w:p w:rsidR="00303BFF" w:rsidRDefault="00303BFF" w:rsidP="00A51C0F">
      <w:pPr>
        <w:spacing w:line="360" w:lineRule="auto"/>
        <w:ind w:firstLine="360"/>
      </w:pPr>
    </w:p>
    <w:p w:rsidR="00AC1ABD" w:rsidRPr="002D3821" w:rsidRDefault="00AC1ABD" w:rsidP="00A51C0F">
      <w:pPr>
        <w:spacing w:line="360" w:lineRule="auto"/>
        <w:ind w:firstLine="360"/>
      </w:pPr>
      <w:r w:rsidRPr="002D3821">
        <w:rPr>
          <w:rFonts w:hint="eastAsia"/>
        </w:rPr>
        <w:t xml:space="preserve">2. </w:t>
      </w:r>
      <w:r w:rsidRPr="002D3821">
        <w:rPr>
          <w:rFonts w:hint="eastAsia"/>
        </w:rPr>
        <w:t>前南斯拉夫特别刑事法庭</w:t>
      </w:r>
      <w:r w:rsidR="00011E8A" w:rsidRPr="002D3821">
        <w:rPr>
          <w:rFonts w:hint="eastAsia"/>
        </w:rPr>
        <w:t>（</w:t>
      </w:r>
      <w:r w:rsidR="00011E8A" w:rsidRPr="002D3821">
        <w:rPr>
          <w:rFonts w:hint="eastAsia"/>
        </w:rPr>
        <w:t>ICTY</w:t>
      </w:r>
      <w:r w:rsidR="00011E8A" w:rsidRPr="002D3821">
        <w:rPr>
          <w:rFonts w:hint="eastAsia"/>
        </w:rPr>
        <w:t>）</w:t>
      </w:r>
      <w:r w:rsidRPr="002D3821">
        <w:rPr>
          <w:rFonts w:hint="eastAsia"/>
        </w:rPr>
        <w:t>和卢旺达特别刑事法庭</w:t>
      </w:r>
      <w:r w:rsidR="00011E8A" w:rsidRPr="002D3821">
        <w:rPr>
          <w:rFonts w:hint="eastAsia"/>
        </w:rPr>
        <w:t>(ICTR)</w:t>
      </w:r>
      <w:r w:rsidRPr="002D3821">
        <w:rPr>
          <w:rFonts w:hint="eastAsia"/>
        </w:rPr>
        <w:t>（</w:t>
      </w:r>
      <w:r w:rsidRPr="002D3821">
        <w:t>International Criminal Tribunals for the former Yugoslavia and Rwanda</w:t>
      </w:r>
      <w:r w:rsidRPr="002D3821">
        <w:rPr>
          <w:rFonts w:hint="eastAsia"/>
        </w:rPr>
        <w:t>）</w:t>
      </w:r>
    </w:p>
    <w:p w:rsidR="006D61A7" w:rsidRPr="002D3821" w:rsidRDefault="00AC1ABD" w:rsidP="00A51C0F">
      <w:pPr>
        <w:spacing w:line="360" w:lineRule="auto"/>
        <w:ind w:firstLine="360"/>
      </w:pPr>
      <w:proofErr w:type="spellStart"/>
      <w:r w:rsidRPr="002D3821">
        <w:rPr>
          <w:i/>
        </w:rPr>
        <w:t>Tadic</w:t>
      </w:r>
      <w:proofErr w:type="spellEnd"/>
      <w:r w:rsidRPr="002D3821">
        <w:rPr>
          <w:i/>
        </w:rPr>
        <w:t xml:space="preserve"> Case</w:t>
      </w:r>
      <w:r w:rsidRPr="002D3821">
        <w:t xml:space="preserve"> (Judgment) ICTY-94</w:t>
      </w:r>
      <w:r w:rsidR="00011E8A" w:rsidRPr="002D3821">
        <w:t>（年份）</w:t>
      </w:r>
      <w:r w:rsidRPr="002D3821">
        <w:t>-1</w:t>
      </w:r>
      <w:r w:rsidR="00011E8A" w:rsidRPr="002D3821">
        <w:t>（案件号）</w:t>
      </w:r>
      <w:r w:rsidRPr="002D3821">
        <w:t xml:space="preserve"> (26 January 2000)</w:t>
      </w:r>
      <w:r w:rsidR="006D61A7" w:rsidRPr="002D3821">
        <w:rPr>
          <w:rFonts w:hint="eastAsia"/>
        </w:rPr>
        <w:t xml:space="preserve">, </w:t>
      </w:r>
      <w:proofErr w:type="spellStart"/>
      <w:r w:rsidR="006D61A7" w:rsidRPr="002D3821">
        <w:rPr>
          <w:rFonts w:hint="eastAsia"/>
        </w:rPr>
        <w:t>p.xxx</w:t>
      </w:r>
      <w:proofErr w:type="spellEnd"/>
      <w:r w:rsidR="006D61A7" w:rsidRPr="002D3821">
        <w:rPr>
          <w:rFonts w:hint="eastAsia"/>
        </w:rPr>
        <w:t xml:space="preserve">, </w:t>
      </w:r>
      <w:proofErr w:type="spellStart"/>
      <w:r w:rsidR="006D61A7" w:rsidRPr="002D3821">
        <w:rPr>
          <w:rFonts w:hint="eastAsia"/>
        </w:rPr>
        <w:t>para.xxx</w:t>
      </w:r>
      <w:proofErr w:type="spellEnd"/>
      <w:r w:rsidR="006D61A7" w:rsidRPr="002D3821">
        <w:rPr>
          <w:rFonts w:hint="eastAsia"/>
        </w:rPr>
        <w:t>.</w:t>
      </w:r>
    </w:p>
    <w:p w:rsidR="00AC1ABD" w:rsidRPr="002D3821" w:rsidRDefault="00AC1ABD" w:rsidP="00A51C0F">
      <w:pPr>
        <w:spacing w:line="360" w:lineRule="auto"/>
        <w:ind w:firstLine="360"/>
      </w:pPr>
    </w:p>
    <w:p w:rsidR="00011E8A" w:rsidRPr="002D3821" w:rsidRDefault="00011E8A" w:rsidP="00A51C0F">
      <w:pPr>
        <w:spacing w:line="360" w:lineRule="auto"/>
        <w:ind w:firstLine="360"/>
      </w:pPr>
      <w:r w:rsidRPr="002D3821">
        <w:rPr>
          <w:i/>
        </w:rPr>
        <w:t xml:space="preserve">Prosecutor v </w:t>
      </w:r>
      <w:proofErr w:type="spellStart"/>
      <w:r w:rsidRPr="002D3821">
        <w:rPr>
          <w:i/>
        </w:rPr>
        <w:t>Akayesu</w:t>
      </w:r>
      <w:proofErr w:type="spellEnd"/>
      <w:r w:rsidRPr="002D3821">
        <w:rPr>
          <w:i/>
        </w:rPr>
        <w:t xml:space="preserve"> </w:t>
      </w:r>
      <w:r w:rsidRPr="002D3821">
        <w:t>(Judgment) ICTR-96-4-T, T Ch I (2 September 1998)</w:t>
      </w:r>
      <w:r w:rsidR="006D61A7" w:rsidRPr="002D3821">
        <w:rPr>
          <w:rFonts w:hint="eastAsia"/>
        </w:rPr>
        <w:t xml:space="preserve">, </w:t>
      </w:r>
      <w:proofErr w:type="spellStart"/>
      <w:r w:rsidR="006D61A7" w:rsidRPr="002D3821">
        <w:rPr>
          <w:rFonts w:hint="eastAsia"/>
        </w:rPr>
        <w:t>p.xxx</w:t>
      </w:r>
      <w:proofErr w:type="spellEnd"/>
      <w:r w:rsidR="006D61A7" w:rsidRPr="002D3821">
        <w:rPr>
          <w:rFonts w:hint="eastAsia"/>
        </w:rPr>
        <w:t xml:space="preserve">, </w:t>
      </w:r>
      <w:proofErr w:type="spellStart"/>
      <w:r w:rsidR="006D61A7" w:rsidRPr="002D3821">
        <w:rPr>
          <w:rFonts w:hint="eastAsia"/>
        </w:rPr>
        <w:t>para.xxx</w:t>
      </w:r>
      <w:proofErr w:type="spellEnd"/>
      <w:r w:rsidR="006D61A7" w:rsidRPr="002D3821">
        <w:rPr>
          <w:rFonts w:hint="eastAsia"/>
        </w:rPr>
        <w:t>.</w:t>
      </w:r>
    </w:p>
    <w:p w:rsidR="00011E8A" w:rsidRPr="002D3821" w:rsidRDefault="00011E8A" w:rsidP="00A51C0F">
      <w:pPr>
        <w:spacing w:line="360" w:lineRule="auto"/>
        <w:ind w:firstLine="360"/>
      </w:pPr>
    </w:p>
    <w:p w:rsidR="00011E8A" w:rsidRPr="002D3821" w:rsidRDefault="00011E8A" w:rsidP="00A51C0F">
      <w:pPr>
        <w:spacing w:line="360" w:lineRule="auto"/>
        <w:ind w:firstLine="360"/>
      </w:pPr>
      <w:r w:rsidRPr="002D3821">
        <w:rPr>
          <w:rFonts w:hint="eastAsia"/>
        </w:rPr>
        <w:t xml:space="preserve">3. </w:t>
      </w:r>
      <w:r w:rsidRPr="002D3821">
        <w:rPr>
          <w:rFonts w:hint="eastAsia"/>
        </w:rPr>
        <w:t>国际海洋法法庭（</w:t>
      </w:r>
      <w:r w:rsidRPr="002D3821">
        <w:rPr>
          <w:rFonts w:hint="eastAsia"/>
        </w:rPr>
        <w:t>ITLOS</w:t>
      </w:r>
      <w:r w:rsidRPr="002D3821">
        <w:rPr>
          <w:rFonts w:hint="eastAsia"/>
        </w:rPr>
        <w:t>）</w:t>
      </w:r>
    </w:p>
    <w:p w:rsidR="00011E8A" w:rsidRPr="002D3821" w:rsidRDefault="00011E8A" w:rsidP="00A51C0F">
      <w:pPr>
        <w:spacing w:line="360" w:lineRule="auto"/>
        <w:ind w:firstLine="360"/>
      </w:pPr>
      <w:r w:rsidRPr="002D3821">
        <w:rPr>
          <w:i/>
        </w:rPr>
        <w:t>/M/V ‘</w:t>
      </w:r>
      <w:proofErr w:type="spellStart"/>
      <w:r w:rsidRPr="002D3821">
        <w:rPr>
          <w:i/>
        </w:rPr>
        <w:t>Saiga</w:t>
      </w:r>
      <w:proofErr w:type="spellEnd"/>
      <w:r w:rsidRPr="002D3821">
        <w:rPr>
          <w:i/>
        </w:rPr>
        <w:t xml:space="preserve">’ (No 2) (Saint Vincent and the Grenadines v Guinea) </w:t>
      </w:r>
      <w:r w:rsidRPr="002D3821">
        <w:t>(Provisional Measures, Order of 11 March 1998) ITLOS Reports 1998</w:t>
      </w:r>
      <w:r w:rsidR="006D61A7" w:rsidRPr="002D3821">
        <w:rPr>
          <w:rFonts w:hint="eastAsia"/>
        </w:rPr>
        <w:t xml:space="preserve">, </w:t>
      </w:r>
      <w:r w:rsidR="00B57DDD" w:rsidRPr="002D3821">
        <w:rPr>
          <w:rFonts w:hint="eastAsia"/>
        </w:rPr>
        <w:t xml:space="preserve">24, </w:t>
      </w:r>
      <w:proofErr w:type="spellStart"/>
      <w:r w:rsidR="006D61A7" w:rsidRPr="002D3821">
        <w:rPr>
          <w:rFonts w:hint="eastAsia"/>
        </w:rPr>
        <w:t>p.xxx</w:t>
      </w:r>
      <w:proofErr w:type="spellEnd"/>
      <w:r w:rsidR="006D61A7" w:rsidRPr="002D3821">
        <w:rPr>
          <w:rFonts w:hint="eastAsia"/>
        </w:rPr>
        <w:t xml:space="preserve">, </w:t>
      </w:r>
      <w:proofErr w:type="spellStart"/>
      <w:r w:rsidR="006D61A7" w:rsidRPr="002D3821">
        <w:rPr>
          <w:rFonts w:hint="eastAsia"/>
        </w:rPr>
        <w:t>para.xxx</w:t>
      </w:r>
      <w:proofErr w:type="spellEnd"/>
      <w:r w:rsidR="006D61A7" w:rsidRPr="002D3821">
        <w:rPr>
          <w:rFonts w:hint="eastAsia"/>
        </w:rPr>
        <w:t>.</w:t>
      </w:r>
    </w:p>
    <w:p w:rsidR="006D61A7" w:rsidRPr="002D3821" w:rsidRDefault="006D61A7" w:rsidP="00A51C0F">
      <w:pPr>
        <w:spacing w:line="360" w:lineRule="auto"/>
        <w:ind w:firstLine="360"/>
      </w:pPr>
    </w:p>
    <w:p w:rsidR="006D61A7" w:rsidRPr="002D3821" w:rsidRDefault="006D61A7" w:rsidP="00A51C0F">
      <w:pPr>
        <w:spacing w:line="360" w:lineRule="auto"/>
        <w:ind w:firstLine="360"/>
      </w:pPr>
      <w:r w:rsidRPr="002D3821">
        <w:rPr>
          <w:rFonts w:hint="eastAsia"/>
        </w:rPr>
        <w:t>4. WTO</w:t>
      </w:r>
    </w:p>
    <w:p w:rsidR="006D61A7" w:rsidRPr="002D3821" w:rsidRDefault="006D61A7" w:rsidP="00A51C0F">
      <w:pPr>
        <w:spacing w:line="360" w:lineRule="auto"/>
        <w:ind w:firstLine="360"/>
      </w:pPr>
      <w:r w:rsidRPr="002D3821">
        <w:lastRenderedPageBreak/>
        <w:t xml:space="preserve">WTO, </w:t>
      </w:r>
      <w:r w:rsidRPr="002D3821">
        <w:rPr>
          <w:i/>
        </w:rPr>
        <w:t xml:space="preserve">India: Measures Affecting the Automotive Sector—Report of the Appellate Body </w:t>
      </w:r>
      <w:r w:rsidRPr="002D3821">
        <w:t>(19 March 2002) WT/DS146/AB/R and WT/DS175/AB/R</w:t>
      </w:r>
      <w:r w:rsidRPr="002D3821">
        <w:rPr>
          <w:rFonts w:hint="eastAsia"/>
        </w:rPr>
        <w:t xml:space="preserve">, </w:t>
      </w:r>
      <w:proofErr w:type="spellStart"/>
      <w:r w:rsidRPr="002D3821">
        <w:rPr>
          <w:rFonts w:hint="eastAsia"/>
        </w:rPr>
        <w:t>p.xxx</w:t>
      </w:r>
      <w:proofErr w:type="spellEnd"/>
      <w:r w:rsidRPr="002D3821">
        <w:rPr>
          <w:rFonts w:hint="eastAsia"/>
        </w:rPr>
        <w:t xml:space="preserve">, </w:t>
      </w:r>
      <w:proofErr w:type="spellStart"/>
      <w:r w:rsidRPr="002D3821">
        <w:rPr>
          <w:rFonts w:hint="eastAsia"/>
        </w:rPr>
        <w:t>para.xxx</w:t>
      </w:r>
      <w:proofErr w:type="spellEnd"/>
      <w:r w:rsidRPr="002D3821">
        <w:rPr>
          <w:rFonts w:hint="eastAsia"/>
        </w:rPr>
        <w:t>.</w:t>
      </w:r>
    </w:p>
    <w:p w:rsidR="006D61A7" w:rsidRPr="002D3821" w:rsidRDefault="006D61A7" w:rsidP="00A51C0F">
      <w:pPr>
        <w:spacing w:line="360" w:lineRule="auto"/>
        <w:ind w:firstLine="360"/>
      </w:pPr>
    </w:p>
    <w:p w:rsidR="006D61A7" w:rsidRPr="002D3821" w:rsidRDefault="006D61A7" w:rsidP="00A51C0F">
      <w:pPr>
        <w:spacing w:line="360" w:lineRule="auto"/>
        <w:ind w:firstLine="360"/>
      </w:pPr>
      <w:r w:rsidRPr="002D3821">
        <w:rPr>
          <w:rFonts w:hint="eastAsia"/>
        </w:rPr>
        <w:t>5.</w:t>
      </w:r>
      <w:r w:rsidRPr="002D3821">
        <w:rPr>
          <w:rFonts w:hint="eastAsia"/>
        </w:rPr>
        <w:t>其他</w:t>
      </w:r>
    </w:p>
    <w:p w:rsidR="006D61A7" w:rsidRPr="002D3821" w:rsidRDefault="006D61A7" w:rsidP="00A51C0F">
      <w:pPr>
        <w:pStyle w:val="a4"/>
        <w:numPr>
          <w:ilvl w:val="0"/>
          <w:numId w:val="2"/>
        </w:numPr>
        <w:spacing w:line="360" w:lineRule="auto"/>
        <w:ind w:firstLineChars="0"/>
      </w:pPr>
      <w:r w:rsidRPr="002D3821">
        <w:t xml:space="preserve">Reports of International Arbitral Awards (RIAA, or </w:t>
      </w:r>
      <w:proofErr w:type="spellStart"/>
      <w:r w:rsidRPr="002D3821">
        <w:t>Recueil</w:t>
      </w:r>
      <w:proofErr w:type="spellEnd"/>
      <w:r w:rsidRPr="002D3821">
        <w:t xml:space="preserve"> des Sentences </w:t>
      </w:r>
      <w:proofErr w:type="spellStart"/>
      <w:r w:rsidRPr="002D3821">
        <w:t>Arbitrales</w:t>
      </w:r>
      <w:proofErr w:type="spellEnd"/>
      <w:r w:rsidRPr="002D3821">
        <w:t>)</w:t>
      </w:r>
      <w:r w:rsidRPr="002D3821">
        <w:rPr>
          <w:rFonts w:hint="eastAsia"/>
        </w:rPr>
        <w:t>:</w:t>
      </w:r>
    </w:p>
    <w:p w:rsidR="006D61A7" w:rsidRPr="002D3821" w:rsidRDefault="006D61A7" w:rsidP="00A51C0F">
      <w:pPr>
        <w:spacing w:line="360" w:lineRule="auto"/>
        <w:ind w:firstLine="360"/>
      </w:pPr>
      <w:proofErr w:type="spellStart"/>
      <w:r w:rsidRPr="002D3821">
        <w:rPr>
          <w:i/>
        </w:rPr>
        <w:t>Tinoco</w:t>
      </w:r>
      <w:proofErr w:type="spellEnd"/>
      <w:r w:rsidRPr="002D3821">
        <w:rPr>
          <w:i/>
        </w:rPr>
        <w:t xml:space="preserve"> Arbitration (GB v Costa Rica)</w:t>
      </w:r>
      <w:r w:rsidRPr="002D3821">
        <w:t xml:space="preserve"> (1923) 1 RIAA</w:t>
      </w:r>
      <w:r w:rsidR="00B57DDD" w:rsidRPr="002D3821">
        <w:rPr>
          <w:rFonts w:hint="eastAsia"/>
        </w:rPr>
        <w:t xml:space="preserve"> 369</w:t>
      </w:r>
      <w:r w:rsidRPr="002D3821">
        <w:rPr>
          <w:rFonts w:hint="eastAsia"/>
        </w:rPr>
        <w:t xml:space="preserve">, </w:t>
      </w:r>
      <w:proofErr w:type="spellStart"/>
      <w:r w:rsidRPr="002D3821">
        <w:rPr>
          <w:rFonts w:hint="eastAsia"/>
        </w:rPr>
        <w:t>p.xxx</w:t>
      </w:r>
      <w:proofErr w:type="spellEnd"/>
      <w:r w:rsidRPr="002D3821">
        <w:rPr>
          <w:rFonts w:hint="eastAsia"/>
        </w:rPr>
        <w:t xml:space="preserve">, </w:t>
      </w:r>
      <w:proofErr w:type="spellStart"/>
      <w:r w:rsidRPr="002D3821">
        <w:rPr>
          <w:rFonts w:hint="eastAsia"/>
        </w:rPr>
        <w:t>para.xxx</w:t>
      </w:r>
      <w:proofErr w:type="spellEnd"/>
      <w:r w:rsidRPr="002D3821">
        <w:rPr>
          <w:rFonts w:hint="eastAsia"/>
        </w:rPr>
        <w:t>.</w:t>
      </w:r>
    </w:p>
    <w:p w:rsidR="006D61A7" w:rsidRPr="002D3821" w:rsidRDefault="006D61A7" w:rsidP="00A51C0F">
      <w:pPr>
        <w:pStyle w:val="a4"/>
        <w:numPr>
          <w:ilvl w:val="0"/>
          <w:numId w:val="2"/>
        </w:numPr>
        <w:spacing w:line="360" w:lineRule="auto"/>
        <w:ind w:firstLineChars="0"/>
      </w:pPr>
      <w:r w:rsidRPr="002D3821">
        <w:t>International Law Reports (ILR)</w:t>
      </w:r>
    </w:p>
    <w:p w:rsidR="006D61A7" w:rsidRPr="002D3821" w:rsidRDefault="006D61A7" w:rsidP="00A51C0F">
      <w:pPr>
        <w:spacing w:line="360" w:lineRule="auto"/>
      </w:pPr>
      <w:r w:rsidRPr="002D3821">
        <w:rPr>
          <w:i/>
        </w:rPr>
        <w:t>Rainbow Warrior (New Zealand v France)</w:t>
      </w:r>
      <w:r w:rsidRPr="002D3821">
        <w:t xml:space="preserve"> (Arbitration Tribunal) (1990) 82 ILR</w:t>
      </w:r>
      <w:r w:rsidR="00B57DDD" w:rsidRPr="002D3821">
        <w:rPr>
          <w:rFonts w:hint="eastAsia"/>
        </w:rPr>
        <w:t xml:space="preserve"> 499</w:t>
      </w:r>
      <w:r w:rsidRPr="002D3821">
        <w:t xml:space="preserve">, </w:t>
      </w:r>
      <w:proofErr w:type="spellStart"/>
      <w:r w:rsidRPr="002D3821">
        <w:rPr>
          <w:rFonts w:hint="eastAsia"/>
        </w:rPr>
        <w:t>p.xxx</w:t>
      </w:r>
      <w:proofErr w:type="spellEnd"/>
      <w:r w:rsidRPr="002D3821">
        <w:rPr>
          <w:rFonts w:hint="eastAsia"/>
        </w:rPr>
        <w:t xml:space="preserve">, </w:t>
      </w:r>
      <w:proofErr w:type="spellStart"/>
      <w:r w:rsidRPr="002D3821">
        <w:rPr>
          <w:rFonts w:hint="eastAsia"/>
        </w:rPr>
        <w:t>para.xxx</w:t>
      </w:r>
      <w:proofErr w:type="spellEnd"/>
      <w:r w:rsidRPr="002D3821">
        <w:rPr>
          <w:rFonts w:hint="eastAsia"/>
        </w:rPr>
        <w:t>.</w:t>
      </w:r>
    </w:p>
    <w:p w:rsidR="00B57DDD" w:rsidRPr="002D3821" w:rsidRDefault="00B57DDD" w:rsidP="00A51C0F">
      <w:pPr>
        <w:pStyle w:val="a4"/>
        <w:numPr>
          <w:ilvl w:val="0"/>
          <w:numId w:val="2"/>
        </w:numPr>
        <w:spacing w:line="360" w:lineRule="auto"/>
        <w:ind w:firstLineChars="0"/>
      </w:pPr>
      <w:r w:rsidRPr="002D3821">
        <w:t>International and Comparative Law Quarterly (ICLQ</w:t>
      </w:r>
      <w:r w:rsidRPr="002D3821">
        <w:rPr>
          <w:rFonts w:hint="eastAsia"/>
        </w:rPr>
        <w:t>)</w:t>
      </w:r>
    </w:p>
    <w:p w:rsidR="00B57DDD" w:rsidRPr="002D3821" w:rsidRDefault="00B57DDD" w:rsidP="00A51C0F">
      <w:pPr>
        <w:spacing w:line="360" w:lineRule="auto"/>
      </w:pPr>
      <w:r w:rsidRPr="002D3821">
        <w:t xml:space="preserve">Dolan (1955) 4 ICLQ </w:t>
      </w:r>
      <w:r w:rsidRPr="002D3821">
        <w:rPr>
          <w:rFonts w:hint="eastAsia"/>
        </w:rPr>
        <w:t xml:space="preserve">629, </w:t>
      </w:r>
      <w:proofErr w:type="spellStart"/>
      <w:r w:rsidRPr="002D3821">
        <w:rPr>
          <w:rFonts w:hint="eastAsia"/>
        </w:rPr>
        <w:t>p.xxx,para.xxx</w:t>
      </w:r>
      <w:proofErr w:type="spellEnd"/>
    </w:p>
    <w:p w:rsidR="00B57DDD" w:rsidRPr="002D3821" w:rsidRDefault="00B57DDD" w:rsidP="00A51C0F">
      <w:pPr>
        <w:spacing w:line="360" w:lineRule="auto"/>
      </w:pPr>
    </w:p>
    <w:p w:rsidR="00A9636E" w:rsidRPr="002D3821" w:rsidRDefault="00E00F15" w:rsidP="00A51C0F">
      <w:pPr>
        <w:spacing w:line="360" w:lineRule="auto"/>
        <w:rPr>
          <w:b/>
        </w:rPr>
      </w:pPr>
      <w:r w:rsidRPr="002D3821">
        <w:rPr>
          <w:rFonts w:hint="eastAsia"/>
          <w:b/>
        </w:rPr>
        <w:t>（</w:t>
      </w:r>
      <w:r w:rsidR="00A9636E" w:rsidRPr="002D3821">
        <w:rPr>
          <w:rFonts w:hint="eastAsia"/>
          <w:b/>
        </w:rPr>
        <w:t>三</w:t>
      </w:r>
      <w:r w:rsidRPr="002D3821">
        <w:rPr>
          <w:rFonts w:hint="eastAsia"/>
          <w:b/>
        </w:rPr>
        <w:t>）</w:t>
      </w:r>
      <w:r w:rsidR="00A9636E" w:rsidRPr="002D3821">
        <w:rPr>
          <w:rFonts w:hint="eastAsia"/>
          <w:b/>
        </w:rPr>
        <w:t xml:space="preserve"> </w:t>
      </w:r>
      <w:r w:rsidR="00A9636E" w:rsidRPr="002D3821">
        <w:rPr>
          <w:rFonts w:hint="eastAsia"/>
          <w:b/>
        </w:rPr>
        <w:t>联合国文件</w:t>
      </w:r>
    </w:p>
    <w:p w:rsidR="00A9636E" w:rsidRPr="002D3821" w:rsidRDefault="00A9636E" w:rsidP="00A51C0F">
      <w:pPr>
        <w:spacing w:line="360" w:lineRule="auto"/>
      </w:pPr>
      <w:r w:rsidRPr="002D3821">
        <w:rPr>
          <w:rFonts w:hint="eastAsia"/>
        </w:rPr>
        <w:t xml:space="preserve">1. </w:t>
      </w:r>
      <w:r w:rsidRPr="002D3821">
        <w:rPr>
          <w:rFonts w:hint="eastAsia"/>
        </w:rPr>
        <w:t>联合国大会</w:t>
      </w:r>
      <w:r w:rsidRPr="002D3821">
        <w:rPr>
          <w:rFonts w:hint="eastAsia"/>
        </w:rPr>
        <w:t>(</w:t>
      </w:r>
      <w:r w:rsidRPr="002D3821">
        <w:t>UN General Assembly (UNGA)</w:t>
      </w:r>
      <w:r w:rsidRPr="002D3821">
        <w:rPr>
          <w:rFonts w:hint="eastAsia"/>
        </w:rPr>
        <w:t>)</w:t>
      </w:r>
    </w:p>
    <w:p w:rsidR="00A9636E" w:rsidRPr="002D3821" w:rsidRDefault="00A9636E" w:rsidP="00A51C0F">
      <w:pPr>
        <w:spacing w:line="360" w:lineRule="auto"/>
      </w:pPr>
      <w:r w:rsidRPr="002D3821">
        <w:t>UNGA Res 51/210</w:t>
      </w:r>
      <w:r w:rsidRPr="002D3821">
        <w:rPr>
          <w:rFonts w:hint="eastAsia"/>
        </w:rPr>
        <w:t xml:space="preserve"> </w:t>
      </w:r>
      <w:r w:rsidRPr="002D3821">
        <w:t>(17 December 1996) UN Doc A/RES/51/210</w:t>
      </w:r>
    </w:p>
    <w:p w:rsidR="00A9636E" w:rsidRPr="002D3821" w:rsidRDefault="00A9636E" w:rsidP="00A51C0F">
      <w:pPr>
        <w:spacing w:line="360" w:lineRule="auto"/>
      </w:pPr>
    </w:p>
    <w:p w:rsidR="00A9636E" w:rsidRPr="002D3821" w:rsidRDefault="00A9636E" w:rsidP="00A51C0F">
      <w:pPr>
        <w:spacing w:line="360" w:lineRule="auto"/>
      </w:pPr>
      <w:r w:rsidRPr="002D3821">
        <w:rPr>
          <w:rFonts w:hint="eastAsia"/>
        </w:rPr>
        <w:t xml:space="preserve">2. </w:t>
      </w:r>
      <w:r w:rsidRPr="002D3821">
        <w:rPr>
          <w:rFonts w:hint="eastAsia"/>
        </w:rPr>
        <w:t>安理会</w:t>
      </w:r>
      <w:r w:rsidR="000E33DA" w:rsidRPr="002D3821">
        <w:rPr>
          <w:rFonts w:hint="eastAsia"/>
        </w:rPr>
        <w:t>(</w:t>
      </w:r>
      <w:r w:rsidR="000E33DA" w:rsidRPr="002D3821">
        <w:t>UN Security Council (UNSC)</w:t>
      </w:r>
      <w:r w:rsidR="000E33DA" w:rsidRPr="002D3821">
        <w:rPr>
          <w:rFonts w:hint="eastAsia"/>
        </w:rPr>
        <w:t>)</w:t>
      </w:r>
    </w:p>
    <w:p w:rsidR="00A9636E" w:rsidRPr="002D3821" w:rsidRDefault="00A9636E" w:rsidP="00A51C0F">
      <w:pPr>
        <w:spacing w:line="360" w:lineRule="auto"/>
      </w:pPr>
      <w:r w:rsidRPr="002D3821">
        <w:t>UNSC Res 1373 (28 September 2001) UN Doc S/RES/1373</w:t>
      </w:r>
    </w:p>
    <w:p w:rsidR="00A9636E" w:rsidRPr="002D3821" w:rsidRDefault="00A9636E" w:rsidP="00A51C0F">
      <w:pPr>
        <w:spacing w:line="360" w:lineRule="auto"/>
      </w:pPr>
    </w:p>
    <w:p w:rsidR="00A9636E" w:rsidRPr="002D3821" w:rsidRDefault="00A9636E" w:rsidP="00A51C0F">
      <w:pPr>
        <w:spacing w:line="360" w:lineRule="auto"/>
      </w:pPr>
      <w:r w:rsidRPr="002D3821">
        <w:rPr>
          <w:rFonts w:hint="eastAsia"/>
        </w:rPr>
        <w:t xml:space="preserve">3. </w:t>
      </w:r>
      <w:r w:rsidRPr="002D3821">
        <w:rPr>
          <w:rFonts w:hint="eastAsia"/>
        </w:rPr>
        <w:t>人权委员会</w:t>
      </w:r>
      <w:r w:rsidR="000E33DA" w:rsidRPr="002D3821">
        <w:rPr>
          <w:rFonts w:hint="eastAsia"/>
        </w:rPr>
        <w:t>(</w:t>
      </w:r>
      <w:r w:rsidR="000E33DA" w:rsidRPr="002D3821">
        <w:t>UN Commission on Human Rights</w:t>
      </w:r>
      <w:r w:rsidR="000E33DA" w:rsidRPr="002D3821">
        <w:rPr>
          <w:rFonts w:hint="eastAsia"/>
        </w:rPr>
        <w:t>(UNCHR))</w:t>
      </w:r>
      <w:r w:rsidR="000E33DA" w:rsidRPr="002D3821">
        <w:rPr>
          <w:rFonts w:hint="eastAsia"/>
        </w:rPr>
        <w:t>和人权理事会</w:t>
      </w:r>
      <w:r w:rsidR="000E33DA" w:rsidRPr="002D3821">
        <w:rPr>
          <w:rFonts w:hint="eastAsia"/>
        </w:rPr>
        <w:t>(United Nations Human Rights Council(UNHRC))</w:t>
      </w:r>
    </w:p>
    <w:p w:rsidR="000E33DA" w:rsidRPr="002D3821" w:rsidRDefault="000E33DA" w:rsidP="00A51C0F">
      <w:pPr>
        <w:spacing w:line="360" w:lineRule="auto"/>
      </w:pPr>
      <w:r w:rsidRPr="002D3821">
        <w:t>UNCHR Res 37 (2001) UN Doc E/CN.4/RES/2001/37</w:t>
      </w:r>
    </w:p>
    <w:p w:rsidR="000E33DA" w:rsidRPr="002D3821" w:rsidRDefault="000E33DA" w:rsidP="00A51C0F">
      <w:pPr>
        <w:spacing w:line="360" w:lineRule="auto"/>
      </w:pPr>
      <w:r w:rsidRPr="002D3821">
        <w:t>UNC</w:t>
      </w:r>
      <w:r w:rsidRPr="002D3821">
        <w:rPr>
          <w:rFonts w:hint="eastAsia"/>
        </w:rPr>
        <w:t>HR</w:t>
      </w:r>
      <w:r w:rsidRPr="002D3821">
        <w:t xml:space="preserve"> ‘Report of the Working Group on Arbitrary Detention’ (21 January 1992) UN Doc E/CN.4/1992/20</w:t>
      </w:r>
    </w:p>
    <w:p w:rsidR="000E33DA" w:rsidRPr="002D3821" w:rsidRDefault="000E33DA" w:rsidP="00A51C0F">
      <w:pPr>
        <w:spacing w:line="360" w:lineRule="auto"/>
      </w:pPr>
    </w:p>
    <w:p w:rsidR="000E33DA" w:rsidRPr="002D3821" w:rsidRDefault="000E33DA" w:rsidP="00A51C0F">
      <w:pPr>
        <w:spacing w:line="360" w:lineRule="auto"/>
      </w:pPr>
      <w:r w:rsidRPr="002D3821">
        <w:rPr>
          <w:rFonts w:hint="eastAsia"/>
        </w:rPr>
        <w:t xml:space="preserve">4. </w:t>
      </w:r>
      <w:r w:rsidRPr="002D3821">
        <w:rPr>
          <w:rFonts w:hint="eastAsia"/>
        </w:rPr>
        <w:t>难民事务高级专员公署</w:t>
      </w:r>
      <w:r w:rsidRPr="002D3821">
        <w:rPr>
          <w:rFonts w:hint="eastAsia"/>
        </w:rPr>
        <w:t>(</w:t>
      </w:r>
      <w:r w:rsidRPr="002D3821">
        <w:t>United Nations High Commissioner for Refugees (UNHCR)</w:t>
      </w:r>
      <w:r w:rsidRPr="002D3821">
        <w:rPr>
          <w:rFonts w:hint="eastAsia"/>
        </w:rPr>
        <w:t>)</w:t>
      </w:r>
    </w:p>
    <w:p w:rsidR="000E33DA" w:rsidRPr="002D3821" w:rsidRDefault="000E33DA" w:rsidP="00A51C0F">
      <w:pPr>
        <w:spacing w:line="360" w:lineRule="auto"/>
      </w:pPr>
      <w:r w:rsidRPr="002D3821">
        <w:t xml:space="preserve">UNHCR ‘Report of the 45th Session of the Executive Committee of the High Commissioner’s </w:t>
      </w:r>
      <w:proofErr w:type="spellStart"/>
      <w:r w:rsidRPr="002D3821">
        <w:t>Programme</w:t>
      </w:r>
      <w:proofErr w:type="spellEnd"/>
      <w:r w:rsidRPr="002D3821">
        <w:t xml:space="preserve"> (Geneva 3–7 October 1994)’ (11 October 1994) UN Doc A/AC.96/839</w:t>
      </w:r>
    </w:p>
    <w:p w:rsidR="000E33DA" w:rsidRPr="002D3821" w:rsidRDefault="000E33DA" w:rsidP="00A51C0F">
      <w:pPr>
        <w:spacing w:line="360" w:lineRule="auto"/>
      </w:pPr>
    </w:p>
    <w:p w:rsidR="000E33DA" w:rsidRPr="002D3821" w:rsidRDefault="000E33DA" w:rsidP="00A51C0F">
      <w:pPr>
        <w:spacing w:line="360" w:lineRule="auto"/>
      </w:pPr>
      <w:r w:rsidRPr="002D3821">
        <w:rPr>
          <w:rFonts w:hint="eastAsia"/>
        </w:rPr>
        <w:t>5.</w:t>
      </w:r>
      <w:r w:rsidRPr="002D3821">
        <w:rPr>
          <w:rFonts w:hint="eastAsia"/>
        </w:rPr>
        <w:t>国际法委员会</w:t>
      </w:r>
      <w:r w:rsidRPr="002D3821">
        <w:rPr>
          <w:rFonts w:hint="eastAsia"/>
        </w:rPr>
        <w:t>(</w:t>
      </w:r>
      <w:r w:rsidRPr="002D3821">
        <w:t>International Law Commission (ILC)</w:t>
      </w:r>
      <w:r w:rsidRPr="002D3821">
        <w:rPr>
          <w:rFonts w:hint="eastAsia"/>
        </w:rPr>
        <w:t>)</w:t>
      </w:r>
    </w:p>
    <w:p w:rsidR="000E33DA" w:rsidRPr="002D3821" w:rsidRDefault="000E33DA" w:rsidP="00A51C0F">
      <w:pPr>
        <w:spacing w:line="360" w:lineRule="auto"/>
      </w:pPr>
      <w:r w:rsidRPr="002D3821">
        <w:lastRenderedPageBreak/>
        <w:t>ILC, ‘Report of the International Law Commission on the Work of its 42nd Session’ (1 May–20 July 1990) UN Doc A/45/10</w:t>
      </w:r>
    </w:p>
    <w:p w:rsidR="00E00F15" w:rsidRPr="002D3821" w:rsidRDefault="00E00F15" w:rsidP="00A51C0F">
      <w:pPr>
        <w:spacing w:line="360" w:lineRule="auto"/>
        <w:ind w:firstLineChars="200" w:firstLine="420"/>
        <w:rPr>
          <w:szCs w:val="21"/>
        </w:rPr>
      </w:pP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b/>
          <w:szCs w:val="21"/>
        </w:rPr>
        <w:t>（四）</w:t>
      </w:r>
      <w:r w:rsidRPr="002D3821">
        <w:rPr>
          <w:rFonts w:hint="eastAsia"/>
          <w:b/>
          <w:szCs w:val="21"/>
        </w:rPr>
        <w:t xml:space="preserve"> </w:t>
      </w:r>
      <w:r w:rsidRPr="002D3821">
        <w:rPr>
          <w:rFonts w:hint="eastAsia"/>
          <w:b/>
          <w:szCs w:val="21"/>
        </w:rPr>
        <w:t>著作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>注明：作者，文献名</w:t>
      </w:r>
      <w:r w:rsidRPr="002D3821">
        <w:rPr>
          <w:rFonts w:hint="eastAsia"/>
          <w:szCs w:val="21"/>
        </w:rPr>
        <w:t>(</w:t>
      </w:r>
      <w:r w:rsidRPr="002D3821">
        <w:rPr>
          <w:rFonts w:hint="eastAsia"/>
          <w:szCs w:val="21"/>
        </w:rPr>
        <w:t>斜体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，卷次</w:t>
      </w:r>
      <w:r w:rsidRPr="002D3821">
        <w:rPr>
          <w:rFonts w:hint="eastAsia"/>
          <w:szCs w:val="21"/>
        </w:rPr>
        <w:t>(</w:t>
      </w:r>
      <w:r w:rsidRPr="002D3821">
        <w:rPr>
          <w:rFonts w:hint="eastAsia"/>
          <w:szCs w:val="21"/>
        </w:rPr>
        <w:t>如有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，版次</w:t>
      </w:r>
      <w:r w:rsidRPr="002D3821">
        <w:rPr>
          <w:rFonts w:hint="eastAsia"/>
          <w:szCs w:val="21"/>
        </w:rPr>
        <w:t>(</w:t>
      </w:r>
      <w:r w:rsidRPr="002D3821">
        <w:rPr>
          <w:rFonts w:hint="eastAsia"/>
          <w:szCs w:val="21"/>
        </w:rPr>
        <w:t>如有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，出版者，出版时间，页码。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 xml:space="preserve">1. F. H. </w:t>
      </w:r>
      <w:proofErr w:type="spellStart"/>
      <w:r w:rsidRPr="002D3821">
        <w:rPr>
          <w:rFonts w:hint="eastAsia"/>
          <w:szCs w:val="21"/>
        </w:rPr>
        <w:t>Lawwon</w:t>
      </w:r>
      <w:proofErr w:type="spellEnd"/>
      <w:r w:rsidRPr="002D3821">
        <w:rPr>
          <w:rFonts w:hint="eastAsia"/>
          <w:szCs w:val="21"/>
        </w:rPr>
        <w:t xml:space="preserve"> &amp; B. S. </w:t>
      </w:r>
      <w:proofErr w:type="spellStart"/>
      <w:r w:rsidRPr="002D3821">
        <w:rPr>
          <w:rFonts w:hint="eastAsia"/>
          <w:szCs w:val="21"/>
        </w:rPr>
        <w:t>Markesinis</w:t>
      </w:r>
      <w:proofErr w:type="spellEnd"/>
      <w:r w:rsidRPr="002D3821">
        <w:rPr>
          <w:rFonts w:hint="eastAsia"/>
          <w:szCs w:val="21"/>
        </w:rPr>
        <w:t xml:space="preserve">, </w:t>
      </w:r>
      <w:proofErr w:type="spellStart"/>
      <w:r w:rsidRPr="002D3821">
        <w:rPr>
          <w:rFonts w:hint="eastAsia"/>
          <w:i/>
          <w:szCs w:val="21"/>
        </w:rPr>
        <w:t>Tortious</w:t>
      </w:r>
      <w:proofErr w:type="spellEnd"/>
      <w:r w:rsidRPr="002D3821">
        <w:rPr>
          <w:rFonts w:hint="eastAsia"/>
          <w:i/>
          <w:szCs w:val="21"/>
        </w:rPr>
        <w:t xml:space="preserve"> Liability for Unintentional Harm in Common Law and the Civil Law</w:t>
      </w:r>
      <w:r w:rsidRPr="002D3821">
        <w:rPr>
          <w:rFonts w:hint="eastAsia"/>
          <w:szCs w:val="21"/>
        </w:rPr>
        <w:t>, Vol.</w:t>
      </w:r>
      <w:r w:rsidRPr="002D3821">
        <w:rPr>
          <w:rFonts w:hint="eastAsia"/>
          <w:szCs w:val="21"/>
        </w:rPr>
        <w:t>Ⅰ</w:t>
      </w:r>
      <w:r w:rsidRPr="002D3821">
        <w:rPr>
          <w:rFonts w:hint="eastAsia"/>
          <w:szCs w:val="21"/>
        </w:rPr>
        <w:t>, Cambridge University Press, 1982, p.</w:t>
      </w:r>
      <w:r w:rsidRPr="002D3821">
        <w:rPr>
          <w:szCs w:val="21"/>
        </w:rPr>
        <w:t xml:space="preserve"> </w:t>
      </w:r>
      <w:r w:rsidRPr="002D3821">
        <w:rPr>
          <w:rFonts w:hint="eastAsia"/>
          <w:szCs w:val="21"/>
        </w:rPr>
        <w:t>106.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 xml:space="preserve">2. William L. Prosser, </w:t>
      </w:r>
      <w:r w:rsidRPr="002D3821">
        <w:rPr>
          <w:rFonts w:hint="eastAsia"/>
          <w:i/>
          <w:szCs w:val="21"/>
        </w:rPr>
        <w:t>Handbook of the Law of Torts</w:t>
      </w:r>
      <w:r w:rsidRPr="002D3821">
        <w:rPr>
          <w:rFonts w:hint="eastAsia"/>
          <w:szCs w:val="21"/>
        </w:rPr>
        <w:t>, 4th ed., West Publishing Company, pp.</w:t>
      </w:r>
      <w:r w:rsidRPr="002D3821">
        <w:rPr>
          <w:szCs w:val="21"/>
        </w:rPr>
        <w:t xml:space="preserve"> </w:t>
      </w:r>
      <w:r w:rsidRPr="002D3821">
        <w:rPr>
          <w:rFonts w:hint="eastAsia"/>
          <w:szCs w:val="21"/>
        </w:rPr>
        <w:t>244-246.</w:t>
      </w:r>
    </w:p>
    <w:p w:rsidR="00E00F15" w:rsidRPr="002D3821" w:rsidRDefault="00E00F15" w:rsidP="00A51C0F">
      <w:pPr>
        <w:spacing w:line="360" w:lineRule="auto"/>
        <w:rPr>
          <w:b/>
          <w:szCs w:val="21"/>
        </w:rPr>
      </w:pP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b/>
          <w:szCs w:val="21"/>
        </w:rPr>
        <w:t>编著</w:t>
      </w:r>
      <w:r w:rsidRPr="002D3821">
        <w:rPr>
          <w:rFonts w:hint="eastAsia"/>
          <w:szCs w:val="21"/>
        </w:rPr>
        <w:t>在编者姓名后加“</w:t>
      </w:r>
      <w:r w:rsidRPr="002D3821">
        <w:rPr>
          <w:rFonts w:hint="eastAsia"/>
          <w:szCs w:val="21"/>
        </w:rPr>
        <w:t>(ed.)</w:t>
      </w:r>
      <w:r w:rsidRPr="002D3821">
        <w:rPr>
          <w:rFonts w:hint="eastAsia"/>
          <w:szCs w:val="21"/>
        </w:rPr>
        <w:t>”</w:t>
      </w:r>
      <w:r w:rsidRPr="002D3821">
        <w:rPr>
          <w:rFonts w:hint="eastAsia"/>
          <w:szCs w:val="21"/>
        </w:rPr>
        <w:t>(</w:t>
      </w:r>
      <w:r w:rsidRPr="002D3821">
        <w:rPr>
          <w:rFonts w:hint="eastAsia"/>
          <w:szCs w:val="21"/>
        </w:rPr>
        <w:t>一人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或“</w:t>
      </w:r>
      <w:r w:rsidRPr="002D3821">
        <w:rPr>
          <w:rFonts w:hint="eastAsia"/>
          <w:szCs w:val="21"/>
        </w:rPr>
        <w:t>(eds.)</w:t>
      </w:r>
      <w:r w:rsidRPr="002D3821">
        <w:rPr>
          <w:rFonts w:hint="eastAsia"/>
          <w:szCs w:val="21"/>
        </w:rPr>
        <w:t>”</w:t>
      </w:r>
      <w:r w:rsidRPr="002D3821">
        <w:rPr>
          <w:rFonts w:hint="eastAsia"/>
          <w:szCs w:val="21"/>
        </w:rPr>
        <w:t>(</w:t>
      </w:r>
      <w:r w:rsidRPr="002D3821">
        <w:rPr>
          <w:rFonts w:hint="eastAsia"/>
          <w:szCs w:val="21"/>
        </w:rPr>
        <w:t>多人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。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 xml:space="preserve">Joel Feinberg &amp; Hyman Cross (eds.), </w:t>
      </w:r>
      <w:r w:rsidRPr="002D3821">
        <w:rPr>
          <w:rFonts w:hint="eastAsia"/>
          <w:i/>
          <w:szCs w:val="21"/>
        </w:rPr>
        <w:t>Philosophy of Law</w:t>
      </w:r>
      <w:r w:rsidRPr="002D3821">
        <w:rPr>
          <w:rFonts w:hint="eastAsia"/>
          <w:szCs w:val="21"/>
        </w:rPr>
        <w:t>, Dickenson Publishing Company, 1975, p.</w:t>
      </w:r>
      <w:r w:rsidRPr="002D3821">
        <w:rPr>
          <w:szCs w:val="21"/>
        </w:rPr>
        <w:t xml:space="preserve"> </w:t>
      </w:r>
      <w:r w:rsidRPr="002D3821">
        <w:rPr>
          <w:rFonts w:hint="eastAsia"/>
          <w:szCs w:val="21"/>
        </w:rPr>
        <w:t>26.</w:t>
      </w:r>
    </w:p>
    <w:p w:rsidR="00E00F15" w:rsidRPr="002D3821" w:rsidRDefault="00E00F15" w:rsidP="00A51C0F">
      <w:pPr>
        <w:spacing w:line="360" w:lineRule="auto"/>
        <w:rPr>
          <w:b/>
          <w:szCs w:val="21"/>
        </w:rPr>
      </w:pP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b/>
          <w:szCs w:val="21"/>
        </w:rPr>
        <w:t>译著</w:t>
      </w:r>
      <w:r w:rsidRPr="002D3821">
        <w:rPr>
          <w:rFonts w:hint="eastAsia"/>
          <w:szCs w:val="21"/>
        </w:rPr>
        <w:t>在文献名后注明译者。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 xml:space="preserve"> Leo Tolstoy, </w:t>
      </w:r>
      <w:r w:rsidRPr="002D3821">
        <w:rPr>
          <w:rFonts w:hint="eastAsia"/>
          <w:i/>
          <w:szCs w:val="21"/>
        </w:rPr>
        <w:t>What is Art?</w:t>
      </w:r>
      <w:r w:rsidRPr="002D3821">
        <w:rPr>
          <w:rFonts w:hint="eastAsia"/>
          <w:szCs w:val="21"/>
        </w:rPr>
        <w:t>, trans., T. Mande, Oxford University Press, 1962, p.</w:t>
      </w:r>
      <w:r w:rsidRPr="002D3821">
        <w:rPr>
          <w:szCs w:val="21"/>
        </w:rPr>
        <w:t xml:space="preserve"> </w:t>
      </w:r>
      <w:r w:rsidRPr="002D3821">
        <w:rPr>
          <w:rFonts w:hint="eastAsia"/>
          <w:szCs w:val="21"/>
        </w:rPr>
        <w:t>258.</w:t>
      </w:r>
    </w:p>
    <w:p w:rsidR="00303BFF" w:rsidRDefault="00303BFF" w:rsidP="00A51C0F">
      <w:pPr>
        <w:spacing w:line="360" w:lineRule="auto"/>
        <w:rPr>
          <w:b/>
          <w:szCs w:val="21"/>
        </w:rPr>
      </w:pP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b/>
          <w:szCs w:val="21"/>
        </w:rPr>
        <w:t>（五）</w:t>
      </w:r>
      <w:r w:rsidRPr="002D3821">
        <w:rPr>
          <w:rFonts w:hint="eastAsia"/>
          <w:b/>
          <w:szCs w:val="21"/>
        </w:rPr>
        <w:t xml:space="preserve"> </w:t>
      </w:r>
      <w:r w:rsidRPr="002D3821">
        <w:rPr>
          <w:rFonts w:hint="eastAsia"/>
          <w:b/>
          <w:szCs w:val="21"/>
        </w:rPr>
        <w:t>论文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b/>
          <w:szCs w:val="21"/>
        </w:rPr>
        <w:t>文集文章</w:t>
      </w:r>
      <w:r w:rsidRPr="002D3821">
        <w:rPr>
          <w:rFonts w:hint="eastAsia"/>
          <w:szCs w:val="21"/>
        </w:rPr>
        <w:t>注明：作者，文献名</w:t>
      </w:r>
      <w:r w:rsidRPr="002D3821">
        <w:rPr>
          <w:rFonts w:hint="eastAsia"/>
          <w:szCs w:val="21"/>
        </w:rPr>
        <w:t>(</w:t>
      </w:r>
      <w:r w:rsidRPr="002D3821">
        <w:rPr>
          <w:rFonts w:hint="eastAsia"/>
          <w:szCs w:val="21"/>
        </w:rPr>
        <w:t>斜体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，编者，文集名称</w:t>
      </w:r>
      <w:r w:rsidRPr="002D3821">
        <w:rPr>
          <w:rFonts w:hint="eastAsia"/>
          <w:szCs w:val="21"/>
        </w:rPr>
        <w:t>(</w:t>
      </w:r>
      <w:r w:rsidRPr="002D3821">
        <w:rPr>
          <w:rFonts w:hint="eastAsia"/>
          <w:szCs w:val="21"/>
        </w:rPr>
        <w:t>斜体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，出版者，出版时间，页码。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 xml:space="preserve">Robert E. Keeton, </w:t>
      </w:r>
      <w:r w:rsidRPr="002D3821">
        <w:rPr>
          <w:rFonts w:hint="eastAsia"/>
          <w:i/>
          <w:szCs w:val="21"/>
        </w:rPr>
        <w:t>The Basic Rule of Legal Cause in Negligence Cases</w:t>
      </w:r>
      <w:r w:rsidRPr="002D3821">
        <w:rPr>
          <w:rFonts w:hint="eastAsia"/>
          <w:szCs w:val="21"/>
        </w:rPr>
        <w:t xml:space="preserve">, in Joel Feinberg &amp; Hyman Gross (eds.), </w:t>
      </w:r>
      <w:r w:rsidRPr="002D3821">
        <w:rPr>
          <w:rFonts w:hint="eastAsia"/>
          <w:i/>
          <w:szCs w:val="21"/>
        </w:rPr>
        <w:t>Philosophy of Law</w:t>
      </w:r>
      <w:r w:rsidRPr="002D3821">
        <w:rPr>
          <w:rFonts w:hint="eastAsia"/>
          <w:szCs w:val="21"/>
        </w:rPr>
        <w:t>, Dickenson Publishing Company, 1975, p.</w:t>
      </w:r>
      <w:r w:rsidRPr="002D3821">
        <w:rPr>
          <w:szCs w:val="21"/>
        </w:rPr>
        <w:t xml:space="preserve"> </w:t>
      </w:r>
      <w:r w:rsidRPr="002D3821">
        <w:rPr>
          <w:rFonts w:hint="eastAsia"/>
          <w:szCs w:val="21"/>
        </w:rPr>
        <w:t>350.</w:t>
      </w:r>
    </w:p>
    <w:p w:rsidR="00E00F15" w:rsidRPr="002D3821" w:rsidRDefault="00E00F15" w:rsidP="00A51C0F">
      <w:pPr>
        <w:spacing w:line="360" w:lineRule="auto"/>
        <w:rPr>
          <w:b/>
          <w:szCs w:val="21"/>
        </w:rPr>
      </w:pPr>
    </w:p>
    <w:p w:rsidR="00E00F15" w:rsidRPr="002D3821" w:rsidRDefault="00E00F15" w:rsidP="00A51C0F">
      <w:pPr>
        <w:spacing w:line="360" w:lineRule="auto"/>
        <w:rPr>
          <w:b/>
          <w:szCs w:val="21"/>
        </w:rPr>
      </w:pPr>
      <w:r w:rsidRPr="002D3821">
        <w:rPr>
          <w:rFonts w:hint="eastAsia"/>
          <w:b/>
          <w:szCs w:val="21"/>
        </w:rPr>
        <w:t>期刊文章注明：作者，文献名</w:t>
      </w:r>
      <w:r w:rsidRPr="002D3821">
        <w:rPr>
          <w:rFonts w:hint="eastAsia"/>
          <w:b/>
          <w:szCs w:val="21"/>
        </w:rPr>
        <w:t>(</w:t>
      </w:r>
      <w:r w:rsidRPr="002D3821">
        <w:rPr>
          <w:rFonts w:hint="eastAsia"/>
          <w:b/>
          <w:szCs w:val="21"/>
        </w:rPr>
        <w:t>斜体</w:t>
      </w:r>
      <w:r w:rsidRPr="002D3821">
        <w:rPr>
          <w:rFonts w:hint="eastAsia"/>
          <w:b/>
          <w:szCs w:val="21"/>
        </w:rPr>
        <w:t>)</w:t>
      </w:r>
      <w:r w:rsidRPr="002D3821">
        <w:rPr>
          <w:rFonts w:hint="eastAsia"/>
          <w:b/>
          <w:szCs w:val="21"/>
        </w:rPr>
        <w:t>，卷号</w:t>
      </w:r>
      <w:r w:rsidRPr="002D3821">
        <w:rPr>
          <w:rFonts w:hint="eastAsia"/>
          <w:b/>
          <w:szCs w:val="21"/>
        </w:rPr>
        <w:t xml:space="preserve"> </w:t>
      </w:r>
      <w:r w:rsidRPr="002D3821">
        <w:rPr>
          <w:rFonts w:hint="eastAsia"/>
          <w:b/>
          <w:szCs w:val="21"/>
        </w:rPr>
        <w:t>期刊简写</w:t>
      </w:r>
      <w:r w:rsidRPr="002D3821">
        <w:rPr>
          <w:rFonts w:hint="eastAsia"/>
          <w:b/>
          <w:szCs w:val="21"/>
        </w:rPr>
        <w:t xml:space="preserve"> (</w:t>
      </w:r>
      <w:r w:rsidRPr="002D3821">
        <w:rPr>
          <w:rFonts w:hint="eastAsia"/>
          <w:b/>
          <w:szCs w:val="21"/>
        </w:rPr>
        <w:t>年份</w:t>
      </w:r>
      <w:r w:rsidRPr="002D3821">
        <w:rPr>
          <w:rFonts w:hint="eastAsia"/>
          <w:b/>
          <w:szCs w:val="21"/>
        </w:rPr>
        <w:t>)</w:t>
      </w:r>
      <w:r w:rsidRPr="002D3821">
        <w:rPr>
          <w:b/>
          <w:szCs w:val="21"/>
        </w:rPr>
        <w:t>：</w:t>
      </w:r>
      <w:r w:rsidRPr="002D3821">
        <w:rPr>
          <w:rFonts w:hint="eastAsia"/>
          <w:b/>
          <w:szCs w:val="21"/>
        </w:rPr>
        <w:t>引用页码。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 xml:space="preserve">Richard Wright, </w:t>
      </w:r>
      <w:r w:rsidRPr="002D3821">
        <w:rPr>
          <w:rFonts w:hint="eastAsia"/>
          <w:i/>
          <w:szCs w:val="21"/>
        </w:rPr>
        <w:t>Causation in Tort Law</w:t>
      </w:r>
      <w:r w:rsidRPr="002D3821">
        <w:rPr>
          <w:rFonts w:hint="eastAsia"/>
          <w:szCs w:val="21"/>
        </w:rPr>
        <w:t>, 73 Calif. L. Rev. (1985), p. 1935.</w:t>
      </w:r>
    </w:p>
    <w:p w:rsidR="00E00F15" w:rsidRPr="002D3821" w:rsidRDefault="00E00F15" w:rsidP="00A51C0F">
      <w:pPr>
        <w:spacing w:line="360" w:lineRule="auto"/>
        <w:rPr>
          <w:b/>
          <w:szCs w:val="21"/>
        </w:rPr>
      </w:pP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b/>
          <w:szCs w:val="21"/>
        </w:rPr>
        <w:t>报纸文章</w:t>
      </w:r>
      <w:r w:rsidRPr="002D3821">
        <w:rPr>
          <w:rFonts w:hint="eastAsia"/>
          <w:szCs w:val="21"/>
        </w:rPr>
        <w:t>注明：作者</w:t>
      </w:r>
      <w:r w:rsidRPr="002D3821">
        <w:rPr>
          <w:rFonts w:hint="eastAsia"/>
          <w:szCs w:val="21"/>
        </w:rPr>
        <w:t>(</w:t>
      </w:r>
      <w:r w:rsidRPr="002D3821">
        <w:rPr>
          <w:rFonts w:hint="eastAsia"/>
          <w:szCs w:val="21"/>
        </w:rPr>
        <w:t>不署名文章无此项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，文献名</w:t>
      </w:r>
      <w:r w:rsidRPr="002D3821">
        <w:rPr>
          <w:rFonts w:hint="eastAsia"/>
          <w:szCs w:val="21"/>
        </w:rPr>
        <w:t>(</w:t>
      </w:r>
      <w:r w:rsidRPr="002D3821">
        <w:rPr>
          <w:rFonts w:hint="eastAsia"/>
          <w:szCs w:val="21"/>
        </w:rPr>
        <w:t>斜体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，报纸名称</w:t>
      </w:r>
      <w:r w:rsidRPr="002D3821">
        <w:rPr>
          <w:rFonts w:hint="eastAsia"/>
          <w:szCs w:val="21"/>
        </w:rPr>
        <w:t>(</w:t>
      </w:r>
      <w:r w:rsidRPr="002D3821">
        <w:rPr>
          <w:rFonts w:hint="eastAsia"/>
          <w:szCs w:val="21"/>
        </w:rPr>
        <w:t>斜体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，出版日期。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 xml:space="preserve">Clayton Jones, </w:t>
      </w:r>
      <w:r w:rsidRPr="002D3821">
        <w:rPr>
          <w:rFonts w:hint="eastAsia"/>
          <w:i/>
          <w:szCs w:val="21"/>
        </w:rPr>
        <w:t>Japanese Link Increased Acid Rain to Distant Coal Plants in China</w:t>
      </w:r>
      <w:r w:rsidRPr="002D3821">
        <w:rPr>
          <w:rFonts w:hint="eastAsia"/>
          <w:szCs w:val="21"/>
        </w:rPr>
        <w:t xml:space="preserve">, in </w:t>
      </w:r>
      <w:r w:rsidRPr="002D3821">
        <w:rPr>
          <w:rFonts w:hint="eastAsia"/>
          <w:i/>
          <w:szCs w:val="21"/>
        </w:rPr>
        <w:t>The Christian Science Monitor</w:t>
      </w:r>
      <w:r w:rsidRPr="002D3821">
        <w:rPr>
          <w:rFonts w:hint="eastAsia"/>
          <w:szCs w:val="21"/>
        </w:rPr>
        <w:t>, Nov. 6, 1992.</w:t>
      </w:r>
    </w:p>
    <w:p w:rsidR="00303BFF" w:rsidRDefault="00303BFF" w:rsidP="00A51C0F">
      <w:pPr>
        <w:spacing w:line="360" w:lineRule="auto"/>
        <w:rPr>
          <w:b/>
          <w:szCs w:val="21"/>
        </w:rPr>
      </w:pP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b/>
          <w:szCs w:val="21"/>
        </w:rPr>
        <w:t>（六）外国国内司法判例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lastRenderedPageBreak/>
        <w:t>注明：判例名</w:t>
      </w:r>
      <w:r w:rsidRPr="002D3821">
        <w:rPr>
          <w:szCs w:val="21"/>
        </w:rPr>
        <w:t>（斜体）</w:t>
      </w:r>
      <w:r w:rsidRPr="002D3821">
        <w:rPr>
          <w:rFonts w:hint="eastAsia"/>
          <w:szCs w:val="21"/>
        </w:rPr>
        <w:t>，卷号</w:t>
      </w:r>
      <w:r w:rsidRPr="002D3821">
        <w:rPr>
          <w:rFonts w:hint="eastAsia"/>
          <w:szCs w:val="21"/>
        </w:rPr>
        <w:t xml:space="preserve"> </w:t>
      </w:r>
      <w:r w:rsidRPr="002D3821">
        <w:rPr>
          <w:rFonts w:hint="eastAsia"/>
          <w:szCs w:val="21"/>
        </w:rPr>
        <w:t>判例集名称</w:t>
      </w:r>
      <w:r w:rsidRPr="002D3821">
        <w:rPr>
          <w:rFonts w:hint="eastAsia"/>
          <w:szCs w:val="21"/>
        </w:rPr>
        <w:t xml:space="preserve"> </w:t>
      </w:r>
      <w:r w:rsidRPr="002D3821">
        <w:rPr>
          <w:rFonts w:hint="eastAsia"/>
          <w:szCs w:val="21"/>
        </w:rPr>
        <w:t>页码</w:t>
      </w:r>
      <w:r w:rsidRPr="002D3821">
        <w:rPr>
          <w:rFonts w:hint="eastAsia"/>
          <w:szCs w:val="21"/>
        </w:rPr>
        <w:t xml:space="preserve"> (</w:t>
      </w:r>
      <w:r w:rsidRPr="002D3821">
        <w:rPr>
          <w:rFonts w:hint="eastAsia"/>
          <w:szCs w:val="21"/>
        </w:rPr>
        <w:t>年份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。可注明多个判例集出处，用逗号分开；可在圆括号中注明法院。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 xml:space="preserve">1. </w:t>
      </w:r>
      <w:r w:rsidRPr="002D3821">
        <w:rPr>
          <w:rFonts w:hint="eastAsia"/>
          <w:i/>
          <w:szCs w:val="21"/>
        </w:rPr>
        <w:t>Minnesota v. Block</w:t>
      </w:r>
      <w:r w:rsidRPr="002D3821">
        <w:rPr>
          <w:rFonts w:hint="eastAsia"/>
          <w:szCs w:val="21"/>
        </w:rPr>
        <w:t>, 660 F. 2d 1240 (8th Cir.1981).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 xml:space="preserve">2. </w:t>
      </w:r>
      <w:r w:rsidRPr="002D3821">
        <w:rPr>
          <w:rFonts w:hint="eastAsia"/>
          <w:i/>
          <w:szCs w:val="21"/>
        </w:rPr>
        <w:t>Vincent v. Lake Erie Transp. Co.</w:t>
      </w:r>
      <w:r w:rsidRPr="002D3821">
        <w:rPr>
          <w:rFonts w:hint="eastAsia"/>
          <w:szCs w:val="21"/>
        </w:rPr>
        <w:t>, 109 Minn. 456, 124 N.W. 221 (1910).</w:t>
      </w:r>
    </w:p>
    <w:p w:rsidR="00303BFF" w:rsidRDefault="00303BFF" w:rsidP="00A51C0F">
      <w:pPr>
        <w:spacing w:line="360" w:lineRule="auto"/>
        <w:rPr>
          <w:b/>
          <w:szCs w:val="21"/>
        </w:rPr>
      </w:pP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b/>
          <w:szCs w:val="21"/>
        </w:rPr>
        <w:t>（七）</w:t>
      </w:r>
      <w:r w:rsidRPr="002D3821">
        <w:rPr>
          <w:rFonts w:hint="eastAsia"/>
          <w:b/>
          <w:szCs w:val="21"/>
        </w:rPr>
        <w:t xml:space="preserve"> </w:t>
      </w:r>
      <w:r w:rsidRPr="002D3821">
        <w:rPr>
          <w:rFonts w:hint="eastAsia"/>
          <w:b/>
          <w:szCs w:val="21"/>
        </w:rPr>
        <w:t>辞书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>注明：辞书名</w:t>
      </w:r>
      <w:r w:rsidRPr="002D3821">
        <w:rPr>
          <w:szCs w:val="21"/>
        </w:rPr>
        <w:t>（斜体）</w:t>
      </w:r>
      <w:r w:rsidRPr="002D3821">
        <w:rPr>
          <w:rFonts w:hint="eastAsia"/>
          <w:szCs w:val="21"/>
        </w:rPr>
        <w:t xml:space="preserve"> </w:t>
      </w:r>
      <w:r w:rsidRPr="002D3821">
        <w:rPr>
          <w:rFonts w:hint="eastAsia"/>
          <w:szCs w:val="21"/>
        </w:rPr>
        <w:t>页码</w:t>
      </w:r>
      <w:r w:rsidRPr="002D3821">
        <w:rPr>
          <w:rFonts w:hint="eastAsia"/>
          <w:szCs w:val="21"/>
        </w:rPr>
        <w:t xml:space="preserve"> (</w:t>
      </w:r>
      <w:r w:rsidRPr="002D3821">
        <w:rPr>
          <w:rFonts w:hint="eastAsia"/>
          <w:szCs w:val="21"/>
        </w:rPr>
        <w:t>版次和出版时间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。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i/>
          <w:szCs w:val="21"/>
        </w:rPr>
        <w:t>Black</w:t>
      </w:r>
      <w:r w:rsidRPr="002D3821">
        <w:rPr>
          <w:rFonts w:hint="eastAsia"/>
          <w:i/>
          <w:szCs w:val="21"/>
        </w:rPr>
        <w:t>’</w:t>
      </w:r>
      <w:r w:rsidRPr="002D3821">
        <w:rPr>
          <w:rFonts w:hint="eastAsia"/>
          <w:i/>
          <w:szCs w:val="21"/>
        </w:rPr>
        <w:t>s Law Dictionary</w:t>
      </w:r>
      <w:r w:rsidRPr="002D3821">
        <w:rPr>
          <w:rFonts w:hint="eastAsia"/>
          <w:szCs w:val="21"/>
        </w:rPr>
        <w:t xml:space="preserve"> 402 (8th ed. 2004).</w:t>
      </w:r>
    </w:p>
    <w:p w:rsidR="00303BFF" w:rsidRDefault="00303BFF" w:rsidP="00A51C0F">
      <w:pPr>
        <w:spacing w:line="360" w:lineRule="auto"/>
        <w:rPr>
          <w:b/>
          <w:szCs w:val="21"/>
        </w:rPr>
      </w:pP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b/>
          <w:szCs w:val="21"/>
        </w:rPr>
        <w:t>（八）</w:t>
      </w:r>
      <w:r w:rsidRPr="002D3821">
        <w:rPr>
          <w:rFonts w:hint="eastAsia"/>
          <w:b/>
          <w:szCs w:val="21"/>
        </w:rPr>
        <w:t xml:space="preserve"> </w:t>
      </w:r>
      <w:r w:rsidRPr="002D3821">
        <w:rPr>
          <w:rFonts w:hint="eastAsia"/>
          <w:b/>
          <w:szCs w:val="21"/>
        </w:rPr>
        <w:t>制定法、法律重述、统一法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>注明：名称</w:t>
      </w:r>
      <w:r w:rsidRPr="002D3821">
        <w:rPr>
          <w:rFonts w:hint="eastAsia"/>
          <w:szCs w:val="21"/>
        </w:rPr>
        <w:t xml:space="preserve"> </w:t>
      </w:r>
      <w:r w:rsidRPr="002D3821">
        <w:rPr>
          <w:rFonts w:hint="eastAsia"/>
          <w:szCs w:val="21"/>
        </w:rPr>
        <w:t>条款序号</w:t>
      </w:r>
      <w:r w:rsidRPr="002D3821">
        <w:rPr>
          <w:rFonts w:hint="eastAsia"/>
          <w:szCs w:val="21"/>
        </w:rPr>
        <w:t xml:space="preserve"> (</w:t>
      </w:r>
      <w:r w:rsidRPr="002D3821">
        <w:rPr>
          <w:rFonts w:hint="eastAsia"/>
          <w:szCs w:val="21"/>
        </w:rPr>
        <w:t>时间</w:t>
      </w:r>
      <w:r w:rsidRPr="002D3821">
        <w:rPr>
          <w:rFonts w:hint="eastAsia"/>
          <w:szCs w:val="21"/>
        </w:rPr>
        <w:t>)</w:t>
      </w:r>
      <w:r w:rsidRPr="002D3821">
        <w:rPr>
          <w:rFonts w:hint="eastAsia"/>
          <w:szCs w:val="21"/>
        </w:rPr>
        <w:t>。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>1. Restatement (Second) of Torts sec. 402A (1978).</w:t>
      </w:r>
    </w:p>
    <w:p w:rsidR="00E00F15" w:rsidRPr="002D3821" w:rsidRDefault="00E00F15" w:rsidP="00A51C0F">
      <w:pPr>
        <w:spacing w:line="360" w:lineRule="auto"/>
        <w:rPr>
          <w:szCs w:val="21"/>
        </w:rPr>
      </w:pPr>
      <w:r w:rsidRPr="002D3821">
        <w:rPr>
          <w:rFonts w:hint="eastAsia"/>
          <w:szCs w:val="21"/>
        </w:rPr>
        <w:t>2. U. C. C. sec. 2-203 (1990).</w:t>
      </w:r>
    </w:p>
    <w:p w:rsidR="000E33DA" w:rsidRPr="002D3821" w:rsidRDefault="000E33DA" w:rsidP="00A51C0F">
      <w:pPr>
        <w:spacing w:line="360" w:lineRule="auto"/>
      </w:pPr>
    </w:p>
    <w:sectPr w:rsidR="000E33DA" w:rsidRPr="002D3821" w:rsidSect="00F12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B9" w:rsidRDefault="00C714B9" w:rsidP="00A51C0F">
      <w:r>
        <w:separator/>
      </w:r>
    </w:p>
  </w:endnote>
  <w:endnote w:type="continuationSeparator" w:id="0">
    <w:p w:rsidR="00C714B9" w:rsidRDefault="00C714B9" w:rsidP="00A51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B9" w:rsidRDefault="00C714B9" w:rsidP="00A51C0F">
      <w:r>
        <w:separator/>
      </w:r>
    </w:p>
  </w:footnote>
  <w:footnote w:type="continuationSeparator" w:id="0">
    <w:p w:rsidR="00C714B9" w:rsidRDefault="00C714B9" w:rsidP="00A51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3038F"/>
    <w:multiLevelType w:val="hybridMultilevel"/>
    <w:tmpl w:val="A7BC7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4B06EE"/>
    <w:multiLevelType w:val="hybridMultilevel"/>
    <w:tmpl w:val="CB483F9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78F"/>
    <w:rsid w:val="00011E8A"/>
    <w:rsid w:val="000E33DA"/>
    <w:rsid w:val="0014578F"/>
    <w:rsid w:val="00226F2E"/>
    <w:rsid w:val="00275740"/>
    <w:rsid w:val="002D3821"/>
    <w:rsid w:val="00303BFF"/>
    <w:rsid w:val="00602BE3"/>
    <w:rsid w:val="00640334"/>
    <w:rsid w:val="00652A03"/>
    <w:rsid w:val="006D61A7"/>
    <w:rsid w:val="007A6AE5"/>
    <w:rsid w:val="008B49B0"/>
    <w:rsid w:val="008D0934"/>
    <w:rsid w:val="00A51C0F"/>
    <w:rsid w:val="00A9636E"/>
    <w:rsid w:val="00AC1ABD"/>
    <w:rsid w:val="00B57DDD"/>
    <w:rsid w:val="00BD38BB"/>
    <w:rsid w:val="00C45C8A"/>
    <w:rsid w:val="00C714B9"/>
    <w:rsid w:val="00D619C1"/>
    <w:rsid w:val="00E00F15"/>
    <w:rsid w:val="00EF2299"/>
    <w:rsid w:val="00F10046"/>
    <w:rsid w:val="00F1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kern w:val="2"/>
        <w:sz w:val="21"/>
        <w:szCs w:val="18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2E"/>
  </w:style>
  <w:style w:type="paragraph" w:styleId="1">
    <w:name w:val="heading 1"/>
    <w:basedOn w:val="a"/>
    <w:next w:val="a"/>
    <w:link w:val="1Char"/>
    <w:qFormat/>
    <w:rsid w:val="00F10046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10046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nhideWhenUsed/>
    <w:qFormat/>
    <w:rsid w:val="00D619C1"/>
    <w:pPr>
      <w:keepNext/>
      <w:keepLines/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qFormat/>
    <w:rsid w:val="00275740"/>
    <w:rPr>
      <w:rFonts w:ascii="simsum" w:hAnsi="simsum"/>
    </w:rPr>
  </w:style>
  <w:style w:type="character" w:customStyle="1" w:styleId="1Char">
    <w:name w:val="标题 1 Char"/>
    <w:basedOn w:val="a0"/>
    <w:link w:val="1"/>
    <w:rsid w:val="00F10046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10046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rsid w:val="00D619C1"/>
    <w:rPr>
      <w:rFonts w:eastAsia="黑体"/>
      <w:b/>
      <w:bCs/>
      <w:sz w:val="21"/>
      <w:szCs w:val="32"/>
    </w:rPr>
  </w:style>
  <w:style w:type="character" w:styleId="a3">
    <w:name w:val="Hyperlink"/>
    <w:basedOn w:val="a0"/>
    <w:uiPriority w:val="99"/>
    <w:unhideWhenUsed/>
    <w:rsid w:val="008D09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1A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5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5"/>
    <w:uiPriority w:val="99"/>
    <w:semiHidden/>
    <w:rsid w:val="00A51C0F"/>
    <w:rPr>
      <w:sz w:val="18"/>
    </w:rPr>
  </w:style>
  <w:style w:type="paragraph" w:styleId="a6">
    <w:name w:val="footer"/>
    <w:basedOn w:val="a"/>
    <w:link w:val="Char0"/>
    <w:uiPriority w:val="99"/>
    <w:semiHidden/>
    <w:unhideWhenUsed/>
    <w:rsid w:val="00A51C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uiPriority w:val="99"/>
    <w:semiHidden/>
    <w:rsid w:val="00A51C0F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="Times New Roman"/>
        <w:kern w:val="2"/>
        <w:sz w:val="21"/>
        <w:szCs w:val="18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2E"/>
  </w:style>
  <w:style w:type="paragraph" w:styleId="1">
    <w:name w:val="heading 1"/>
    <w:basedOn w:val="a"/>
    <w:next w:val="a"/>
    <w:link w:val="1Char"/>
    <w:qFormat/>
    <w:rsid w:val="00F10046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10046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nhideWhenUsed/>
    <w:qFormat/>
    <w:rsid w:val="00D619C1"/>
    <w:pPr>
      <w:keepNext/>
      <w:keepLines/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qFormat/>
    <w:rsid w:val="00275740"/>
    <w:rPr>
      <w:rFonts w:ascii="simsum" w:hAnsi="simsum"/>
    </w:rPr>
  </w:style>
  <w:style w:type="character" w:customStyle="1" w:styleId="1Char">
    <w:name w:val="标题 1 Char"/>
    <w:basedOn w:val="a0"/>
    <w:link w:val="1"/>
    <w:rsid w:val="00F10046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10046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rsid w:val="00D619C1"/>
    <w:rPr>
      <w:rFonts w:eastAsia="黑体"/>
      <w:b/>
      <w:bCs/>
      <w:sz w:val="21"/>
      <w:szCs w:val="32"/>
    </w:rPr>
  </w:style>
  <w:style w:type="character" w:styleId="a3">
    <w:name w:val="Hyperlink"/>
    <w:basedOn w:val="a0"/>
    <w:uiPriority w:val="99"/>
    <w:unhideWhenUsed/>
    <w:rsid w:val="008D09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1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online.w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2016-10-14T02:31:00Z</dcterms:created>
  <dcterms:modified xsi:type="dcterms:W3CDTF">2016-10-17T02:45:00Z</dcterms:modified>
</cp:coreProperties>
</file>