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106"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410"/>
        <w:gridCol w:w="1311"/>
        <w:gridCol w:w="1878"/>
        <w:gridCol w:w="1878"/>
        <w:gridCol w:w="1454"/>
      </w:tblGrid>
      <w:tr w:rsidR="00EE1516" w:rsidRPr="00EE1516" w:rsidTr="00D357BA">
        <w:trPr>
          <w:cantSplit/>
          <w:trHeight w:val="1833"/>
        </w:trPr>
        <w:tc>
          <w:tcPr>
            <w:tcW w:w="8931" w:type="dxa"/>
            <w:gridSpan w:val="5"/>
            <w:tcBorders>
              <w:top w:val="single" w:sz="4" w:space="0" w:color="auto"/>
              <w:bottom w:val="single" w:sz="4" w:space="0" w:color="auto"/>
            </w:tcBorders>
            <w:vAlign w:val="center"/>
          </w:tcPr>
          <w:p w:rsidR="009A3466" w:rsidRPr="00EE1516" w:rsidRDefault="009A3466" w:rsidP="00D60F38">
            <w:pPr>
              <w:widowControl/>
              <w:jc w:val="center"/>
              <w:rPr>
                <w:rFonts w:ascii="Times New Roman" w:eastAsia="黑体" w:hAnsi="Times New Roman" w:cs="黑体"/>
                <w:sz w:val="32"/>
                <w:szCs w:val="32"/>
              </w:rPr>
            </w:pPr>
            <w:r w:rsidRPr="00EE1516">
              <w:rPr>
                <w:rFonts w:ascii="Times New Roman" w:eastAsia="黑体" w:hAnsi="Times New Roman" w:cs="黑体" w:hint="eastAsia"/>
                <w:sz w:val="32"/>
                <w:szCs w:val="32"/>
              </w:rPr>
              <w:t>比较法学专业攻读博士学位研究生培养方案</w:t>
            </w:r>
          </w:p>
          <w:p w:rsidR="00D357BA" w:rsidRPr="00EE1516" w:rsidRDefault="00D357BA" w:rsidP="00D60F38">
            <w:pPr>
              <w:widowControl/>
              <w:jc w:val="center"/>
              <w:rPr>
                <w:rFonts w:ascii="Times New Roman" w:hAnsi="Times New Roman" w:cs="Times New Roman"/>
              </w:rPr>
            </w:pPr>
            <w:r w:rsidRPr="00EE1516">
              <w:rPr>
                <w:rFonts w:ascii="Times New Roman" w:eastAsia="黑体" w:hAnsi="Times New Roman" w:cs="黑体" w:hint="eastAsia"/>
                <w:sz w:val="32"/>
                <w:szCs w:val="32"/>
              </w:rPr>
              <w:t>（专业代码：</w:t>
            </w:r>
            <w:r w:rsidRPr="00EE1516">
              <w:rPr>
                <w:rFonts w:ascii="Times New Roman" w:eastAsia="黑体" w:hAnsi="Times New Roman" w:cs="黑体" w:hint="eastAsia"/>
                <w:sz w:val="32"/>
                <w:szCs w:val="32"/>
              </w:rPr>
              <w:t>0301Z3</w:t>
            </w:r>
            <w:r w:rsidRPr="00EE1516">
              <w:rPr>
                <w:rFonts w:ascii="Times New Roman" w:eastAsia="黑体" w:hAnsi="Times New Roman" w:cs="黑体" w:hint="eastAsia"/>
                <w:sz w:val="32"/>
                <w:szCs w:val="32"/>
              </w:rPr>
              <w:t>）</w:t>
            </w:r>
          </w:p>
        </w:tc>
      </w:tr>
      <w:tr w:rsidR="00EE1516" w:rsidRPr="00EE1516" w:rsidTr="00D60F38">
        <w:trPr>
          <w:trHeight w:val="1529"/>
        </w:trPr>
        <w:tc>
          <w:tcPr>
            <w:tcW w:w="2410" w:type="dxa"/>
            <w:tcBorders>
              <w:top w:val="single" w:sz="4" w:space="0" w:color="auto"/>
              <w:bottom w:val="single" w:sz="4" w:space="0" w:color="auto"/>
              <w:right w:val="single" w:sz="4" w:space="0" w:color="auto"/>
            </w:tcBorders>
            <w:vAlign w:val="center"/>
          </w:tcPr>
          <w:p w:rsidR="009A3466" w:rsidRPr="00EE1516" w:rsidRDefault="009A3466" w:rsidP="00D60F38">
            <w:pPr>
              <w:jc w:val="left"/>
              <w:outlineLvl w:val="0"/>
              <w:rPr>
                <w:rFonts w:ascii="Times New Roman" w:eastAsia="黑体" w:hAnsi="Times New Roman" w:cs="Times New Roman"/>
                <w:sz w:val="24"/>
                <w:szCs w:val="24"/>
              </w:rPr>
            </w:pPr>
            <w:r w:rsidRPr="00EE1516">
              <w:rPr>
                <w:rFonts w:ascii="Times New Roman" w:eastAsia="黑体" w:hAnsi="Times New Roman" w:cs="黑体" w:hint="eastAsia"/>
                <w:sz w:val="24"/>
                <w:szCs w:val="24"/>
              </w:rPr>
              <w:t>一、学科、专业简介</w:t>
            </w:r>
          </w:p>
        </w:tc>
        <w:tc>
          <w:tcPr>
            <w:tcW w:w="6521" w:type="dxa"/>
            <w:gridSpan w:val="4"/>
            <w:tcBorders>
              <w:top w:val="single" w:sz="4" w:space="0" w:color="auto"/>
              <w:left w:val="single" w:sz="4" w:space="0" w:color="auto"/>
              <w:bottom w:val="single" w:sz="4" w:space="0" w:color="auto"/>
            </w:tcBorders>
            <w:vAlign w:val="center"/>
          </w:tcPr>
          <w:p w:rsidR="009A3466" w:rsidRPr="00EE1516" w:rsidRDefault="009A3466" w:rsidP="00D60F38">
            <w:pPr>
              <w:ind w:firstLineChars="200" w:firstLine="480"/>
              <w:rPr>
                <w:rFonts w:ascii="仿宋_GB2312" w:eastAsia="仿宋_GB2312" w:hAnsi="Times New Roman" w:cs="Times New Roman"/>
                <w:sz w:val="24"/>
                <w:szCs w:val="24"/>
              </w:rPr>
            </w:pPr>
            <w:r w:rsidRPr="00EE1516">
              <w:rPr>
                <w:rFonts w:ascii="仿宋_GB2312" w:eastAsia="仿宋_GB2312" w:cs="仿宋_GB2312" w:hint="eastAsia"/>
                <w:sz w:val="24"/>
                <w:szCs w:val="24"/>
              </w:rPr>
              <w:t>比较法学是十九世纪末以来发展起来的新兴法学学科。</w:t>
            </w:r>
            <w:r w:rsidRPr="00EE1516">
              <w:rPr>
                <w:rFonts w:ascii="仿宋_GB2312" w:eastAsia="仿宋_GB2312" w:cs="仿宋_GB2312"/>
                <w:sz w:val="24"/>
                <w:szCs w:val="24"/>
              </w:rPr>
              <w:t>2009</w:t>
            </w:r>
            <w:r w:rsidRPr="00EE1516">
              <w:rPr>
                <w:rFonts w:ascii="仿宋_GB2312" w:eastAsia="仿宋_GB2312" w:cs="仿宋_GB2312" w:hint="eastAsia"/>
                <w:sz w:val="24"/>
                <w:szCs w:val="24"/>
              </w:rPr>
              <w:t>年，我校在比较法研究所、中德法学院和中美法学院的基础上整合成立比较法学研究院，搭建了比较法科研、教学、学科发展的新平台。比较法学专业以比较研究和国际视野为最大特色，对大陆法系、普通法系以及欧盟、两岸四地等区域性法律的比较研究为主要对象，研究领域涵盖了比较法学基础理论、比较民商法和比较公法。该专业注重培养学生的学术创新能力和涉外法律问题的处理能力；通过联合培养和交流协议，为学生提供赴海外著名高校交流学习的机会。</w:t>
            </w:r>
          </w:p>
        </w:tc>
      </w:tr>
      <w:tr w:rsidR="00EE1516" w:rsidRPr="00EE1516" w:rsidTr="00D60F38">
        <w:trPr>
          <w:trHeight w:val="702"/>
        </w:trPr>
        <w:tc>
          <w:tcPr>
            <w:tcW w:w="2410" w:type="dxa"/>
            <w:tcBorders>
              <w:top w:val="single" w:sz="4" w:space="0" w:color="auto"/>
              <w:bottom w:val="single" w:sz="4" w:space="0" w:color="auto"/>
              <w:right w:val="single" w:sz="4" w:space="0" w:color="auto"/>
            </w:tcBorders>
            <w:vAlign w:val="center"/>
          </w:tcPr>
          <w:p w:rsidR="009A3466" w:rsidRPr="00EE1516" w:rsidRDefault="009A3466" w:rsidP="00D60F38">
            <w:pPr>
              <w:jc w:val="left"/>
              <w:outlineLvl w:val="0"/>
              <w:rPr>
                <w:rFonts w:ascii="Times New Roman" w:eastAsia="黑体" w:hAnsi="Times New Roman" w:cs="Times New Roman"/>
                <w:sz w:val="24"/>
                <w:szCs w:val="24"/>
              </w:rPr>
            </w:pPr>
            <w:r w:rsidRPr="00EE1516">
              <w:rPr>
                <w:rFonts w:ascii="Times New Roman" w:eastAsia="黑体" w:hAnsi="Times New Roman" w:cs="黑体" w:hint="eastAsia"/>
                <w:sz w:val="24"/>
                <w:szCs w:val="24"/>
              </w:rPr>
              <w:t>二、培养目标</w:t>
            </w:r>
          </w:p>
        </w:tc>
        <w:tc>
          <w:tcPr>
            <w:tcW w:w="6521" w:type="dxa"/>
            <w:gridSpan w:val="4"/>
            <w:tcBorders>
              <w:top w:val="single" w:sz="4" w:space="0" w:color="auto"/>
              <w:left w:val="single" w:sz="4" w:space="0" w:color="auto"/>
              <w:bottom w:val="single" w:sz="4" w:space="0" w:color="auto"/>
            </w:tcBorders>
            <w:vAlign w:val="center"/>
          </w:tcPr>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本专业培养比较法学的高级研究人才和实务人才。本专业培养的博士生应坚定地维护和遵守国家宪法和法律，具有完善的公民意识和社会责任感，养成良好的职业道德和科学精神，具备复合型、外向型和创新型的科学研究能力和实务工作能力。本专业的博士生应深度了解和掌握比较法学的基本理论和研究方法，在深入学习、研究中国法学理论和法律制度的基础上，通晓大陆法系和英美法系主要国家的法律理论和法律制度，并能运用比较法学的方法，通过借鉴、继受或移植的途径，为世界法律的文明进步和中国法治国家的建立作出专业性的贡献。具体而言：</w:t>
            </w:r>
          </w:p>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sz w:val="24"/>
                <w:szCs w:val="24"/>
              </w:rPr>
              <w:t>1.</w:t>
            </w:r>
            <w:r w:rsidRPr="00EE1516">
              <w:rPr>
                <w:rFonts w:ascii="仿宋_GB2312" w:eastAsia="仿宋_GB2312" w:cs="仿宋_GB2312" w:hint="eastAsia"/>
                <w:sz w:val="24"/>
                <w:szCs w:val="24"/>
              </w:rPr>
              <w:t>具备深厚的比较法学专业知识，在系统掌握本国法某一领域知识的同时，精通外国相关领域法，能够将社会经济文化背景和制度相结合，在比较中推陈出新。</w:t>
            </w:r>
          </w:p>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sz w:val="24"/>
                <w:szCs w:val="24"/>
              </w:rPr>
              <w:t>2.</w:t>
            </w:r>
            <w:r w:rsidRPr="00EE1516">
              <w:rPr>
                <w:rFonts w:ascii="仿宋_GB2312" w:eastAsia="仿宋_GB2312" w:cs="仿宋_GB2312" w:hint="eastAsia"/>
                <w:sz w:val="24"/>
                <w:szCs w:val="24"/>
              </w:rPr>
              <w:t>精通一门以上的外语，具备较强的国际学术交流能力；运用比较法学的研究方法，广泛深入地研究我国现阶段所面临的法律问题的科研能力。</w:t>
            </w:r>
          </w:p>
          <w:p w:rsidR="009A3466" w:rsidRPr="00EE1516" w:rsidRDefault="009A3466" w:rsidP="00D60F38">
            <w:pPr>
              <w:ind w:firstLineChars="200" w:firstLine="480"/>
              <w:rPr>
                <w:rFonts w:ascii="Times New Roman" w:eastAsia="仿宋_GB2312" w:hAnsi="Times New Roman" w:cs="Times New Roman"/>
                <w:sz w:val="24"/>
                <w:szCs w:val="24"/>
              </w:rPr>
            </w:pPr>
            <w:r w:rsidRPr="00EE1516">
              <w:rPr>
                <w:rFonts w:ascii="仿宋_GB2312" w:eastAsia="仿宋_GB2312" w:cs="仿宋_GB2312"/>
                <w:sz w:val="24"/>
                <w:szCs w:val="24"/>
              </w:rPr>
              <w:t>3.</w:t>
            </w:r>
            <w:r w:rsidRPr="00EE1516">
              <w:rPr>
                <w:rFonts w:ascii="仿宋_GB2312" w:eastAsia="仿宋_GB2312" w:cs="仿宋_GB2312" w:hint="eastAsia"/>
                <w:sz w:val="24"/>
                <w:szCs w:val="24"/>
              </w:rPr>
              <w:t>具有国际化的学术视野和国际学术及实务的交往、工作能力。</w:t>
            </w:r>
          </w:p>
        </w:tc>
      </w:tr>
      <w:tr w:rsidR="00EE1516" w:rsidRPr="00EE1516" w:rsidTr="00D60F38">
        <w:trPr>
          <w:trHeight w:val="1344"/>
        </w:trPr>
        <w:tc>
          <w:tcPr>
            <w:tcW w:w="2410" w:type="dxa"/>
            <w:tcBorders>
              <w:top w:val="single" w:sz="4" w:space="0" w:color="auto"/>
              <w:bottom w:val="single" w:sz="4" w:space="0" w:color="auto"/>
              <w:right w:val="single" w:sz="4" w:space="0" w:color="auto"/>
            </w:tcBorders>
            <w:vAlign w:val="center"/>
          </w:tcPr>
          <w:p w:rsidR="009A3466" w:rsidRPr="00EE1516" w:rsidRDefault="009A3466" w:rsidP="00D60F38">
            <w:pPr>
              <w:jc w:val="left"/>
              <w:outlineLvl w:val="0"/>
              <w:rPr>
                <w:rFonts w:ascii="Times New Roman" w:eastAsia="黑体" w:hAnsi="Times New Roman" w:cs="Times New Roman"/>
                <w:sz w:val="24"/>
                <w:szCs w:val="24"/>
              </w:rPr>
            </w:pPr>
            <w:r w:rsidRPr="00EE1516">
              <w:rPr>
                <w:rFonts w:ascii="Times New Roman" w:eastAsia="黑体" w:hAnsi="Times New Roman" w:cs="黑体" w:hint="eastAsia"/>
                <w:sz w:val="24"/>
                <w:szCs w:val="24"/>
              </w:rPr>
              <w:t>三、研究方向</w:t>
            </w:r>
          </w:p>
        </w:tc>
        <w:tc>
          <w:tcPr>
            <w:tcW w:w="6521" w:type="dxa"/>
            <w:gridSpan w:val="4"/>
            <w:tcBorders>
              <w:top w:val="single" w:sz="4" w:space="0" w:color="auto"/>
              <w:left w:val="single" w:sz="4" w:space="0" w:color="auto"/>
              <w:bottom w:val="single" w:sz="4" w:space="0" w:color="auto"/>
            </w:tcBorders>
            <w:vAlign w:val="center"/>
          </w:tcPr>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（一）比较法学基础理论</w:t>
            </w:r>
          </w:p>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该研究方向主要从事比较法学的基本理论、基本方法的研究，吸纳世界各国、各地区的优秀法律文化，支持比较法学在部门法领域的具体研究，为完善有中国特色社会主义法律体系、培育当代中华法律文化提供理论上的支持。</w:t>
            </w:r>
          </w:p>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（二）比较民商法</w:t>
            </w:r>
          </w:p>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该研究方向主要从比较法的视角致力于研究各国民商事法学理论和法律实践之间的异同，分析比较国际相关民商事立法的立法源流和宗旨，以期拓宽我国民商事法学理论研究的视野，为我国完善相关民商事法律以及开展国际民商事交往提供理论依据和法律依据。</w:t>
            </w:r>
          </w:p>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lastRenderedPageBreak/>
              <w:t>（三）比较公法</w:t>
            </w:r>
          </w:p>
          <w:p w:rsidR="009A3466" w:rsidRPr="00EE1516" w:rsidRDefault="009A3466" w:rsidP="00D60F38">
            <w:pPr>
              <w:ind w:firstLineChars="200" w:firstLine="480"/>
              <w:rPr>
                <w:rFonts w:ascii="仿宋_GB2312" w:eastAsia="仿宋_GB2312" w:cs="仿宋_GB2312"/>
                <w:sz w:val="24"/>
                <w:szCs w:val="24"/>
              </w:rPr>
            </w:pPr>
            <w:r w:rsidRPr="00EE1516">
              <w:rPr>
                <w:rFonts w:ascii="仿宋_GB2312" w:eastAsia="仿宋_GB2312" w:cs="仿宋_GB2312" w:hint="eastAsia"/>
                <w:sz w:val="24"/>
                <w:szCs w:val="24"/>
              </w:rPr>
              <w:t>该研究方向主要从事外国公法，尤其是德国、美国等国家的宪法、行政法和诉讼法学的研究，并在此基础上运用比较法学的基本方法，深入分析我国与外国，大陆法系与英美法系以及其他区域性法律在公法理论与制度实践上的异同，为我国相关学科的完善提供比较法的支持。本专业比较公法课程大多采用德美现行教材，讲授方式主要借鉴德美模式，授课语言也基本为双语，且必修课程与选修课程相互配套，讲授课程与练习课程相互衔接。</w:t>
            </w:r>
          </w:p>
          <w:p w:rsidR="009A3466" w:rsidRPr="00EE1516" w:rsidRDefault="009A3466" w:rsidP="00D60F38">
            <w:pPr>
              <w:ind w:firstLineChars="200" w:firstLine="480"/>
              <w:rPr>
                <w:rFonts w:ascii="仿宋_GB2312" w:eastAsia="仿宋_GB2312" w:hAnsi="Times New Roman" w:cs="Times New Roman"/>
                <w:sz w:val="24"/>
                <w:szCs w:val="24"/>
              </w:rPr>
            </w:pPr>
          </w:p>
        </w:tc>
      </w:tr>
      <w:tr w:rsidR="00EE1516" w:rsidRPr="00EE1516" w:rsidTr="00D60F38">
        <w:trPr>
          <w:trHeight w:val="908"/>
        </w:trPr>
        <w:tc>
          <w:tcPr>
            <w:tcW w:w="2410" w:type="dxa"/>
            <w:tcBorders>
              <w:top w:val="single" w:sz="4" w:space="0" w:color="auto"/>
              <w:bottom w:val="single" w:sz="4" w:space="0" w:color="auto"/>
              <w:right w:val="single" w:sz="4" w:space="0" w:color="auto"/>
            </w:tcBorders>
            <w:vAlign w:val="center"/>
          </w:tcPr>
          <w:p w:rsidR="009A3466" w:rsidRPr="00EE1516" w:rsidRDefault="009A3466" w:rsidP="00D60F38">
            <w:pPr>
              <w:jc w:val="left"/>
              <w:outlineLvl w:val="0"/>
              <w:rPr>
                <w:rFonts w:ascii="Times New Roman" w:eastAsia="黑体" w:hAnsi="Times New Roman" w:cs="Times New Roman"/>
                <w:sz w:val="24"/>
                <w:szCs w:val="24"/>
              </w:rPr>
            </w:pPr>
            <w:r w:rsidRPr="00EE1516">
              <w:rPr>
                <w:rFonts w:ascii="Times New Roman" w:eastAsia="黑体" w:hAnsi="Times New Roman" w:cs="黑体" w:hint="eastAsia"/>
                <w:sz w:val="24"/>
                <w:szCs w:val="24"/>
              </w:rPr>
              <w:lastRenderedPageBreak/>
              <w:t>四、学制及学习年限</w:t>
            </w:r>
          </w:p>
        </w:tc>
        <w:tc>
          <w:tcPr>
            <w:tcW w:w="1311" w:type="dxa"/>
            <w:tcBorders>
              <w:top w:val="single" w:sz="4" w:space="0" w:color="auto"/>
              <w:left w:val="single" w:sz="4" w:space="0" w:color="auto"/>
              <w:bottom w:val="single" w:sz="4" w:space="0" w:color="auto"/>
            </w:tcBorders>
            <w:vAlign w:val="center"/>
          </w:tcPr>
          <w:p w:rsidR="009A3466" w:rsidRPr="00EE1516" w:rsidRDefault="009A3466" w:rsidP="00D60F38">
            <w:pPr>
              <w:jc w:val="center"/>
              <w:rPr>
                <w:rFonts w:ascii="仿宋" w:eastAsia="仿宋" w:hAnsi="仿宋" w:cs="Times New Roman"/>
                <w:b/>
                <w:bCs/>
                <w:sz w:val="28"/>
                <w:szCs w:val="28"/>
              </w:rPr>
            </w:pPr>
            <w:r w:rsidRPr="00EE1516">
              <w:rPr>
                <w:rFonts w:ascii="仿宋" w:eastAsia="仿宋" w:hAnsi="仿宋" w:cs="仿宋" w:hint="eastAsia"/>
                <w:b/>
                <w:bCs/>
                <w:sz w:val="28"/>
                <w:szCs w:val="28"/>
              </w:rPr>
              <w:t>学制</w:t>
            </w:r>
          </w:p>
        </w:tc>
        <w:tc>
          <w:tcPr>
            <w:tcW w:w="1878" w:type="dxa"/>
            <w:tcBorders>
              <w:top w:val="single" w:sz="4" w:space="0" w:color="auto"/>
              <w:left w:val="single" w:sz="4" w:space="0" w:color="auto"/>
              <w:bottom w:val="single" w:sz="4" w:space="0" w:color="auto"/>
            </w:tcBorders>
            <w:vAlign w:val="center"/>
          </w:tcPr>
          <w:p w:rsidR="009A3466" w:rsidRPr="00EE1516" w:rsidRDefault="009A3466" w:rsidP="00D60F38">
            <w:pPr>
              <w:jc w:val="center"/>
              <w:rPr>
                <w:rFonts w:ascii="仿宋" w:eastAsia="仿宋" w:hAnsi="仿宋" w:cs="Times New Roman"/>
                <w:sz w:val="28"/>
                <w:szCs w:val="28"/>
              </w:rPr>
            </w:pPr>
            <w:r w:rsidRPr="00EE1516">
              <w:rPr>
                <w:rFonts w:ascii="仿宋" w:eastAsia="仿宋" w:hAnsi="仿宋" w:cs="仿宋" w:hint="eastAsia"/>
                <w:sz w:val="28"/>
                <w:szCs w:val="28"/>
              </w:rPr>
              <w:t>三年</w:t>
            </w:r>
          </w:p>
        </w:tc>
        <w:tc>
          <w:tcPr>
            <w:tcW w:w="1878" w:type="dxa"/>
            <w:tcBorders>
              <w:top w:val="single" w:sz="4" w:space="0" w:color="auto"/>
              <w:left w:val="single" w:sz="4" w:space="0" w:color="auto"/>
              <w:bottom w:val="single" w:sz="4" w:space="0" w:color="auto"/>
            </w:tcBorders>
            <w:vAlign w:val="center"/>
          </w:tcPr>
          <w:p w:rsidR="009A3466" w:rsidRPr="00EE1516" w:rsidRDefault="009A3466" w:rsidP="00D60F38">
            <w:pPr>
              <w:jc w:val="center"/>
              <w:rPr>
                <w:rFonts w:ascii="仿宋" w:eastAsia="仿宋" w:hAnsi="仿宋" w:cs="Times New Roman"/>
                <w:sz w:val="28"/>
                <w:szCs w:val="28"/>
              </w:rPr>
            </w:pPr>
            <w:r w:rsidRPr="00EE1516">
              <w:rPr>
                <w:rFonts w:ascii="仿宋" w:eastAsia="仿宋" w:hAnsi="仿宋" w:cs="仿宋" w:hint="eastAsia"/>
                <w:b/>
                <w:bCs/>
                <w:sz w:val="28"/>
                <w:szCs w:val="28"/>
              </w:rPr>
              <w:t>学习年限</w:t>
            </w:r>
          </w:p>
        </w:tc>
        <w:tc>
          <w:tcPr>
            <w:tcW w:w="1454" w:type="dxa"/>
            <w:tcBorders>
              <w:top w:val="single" w:sz="4" w:space="0" w:color="auto"/>
              <w:left w:val="single" w:sz="4" w:space="0" w:color="auto"/>
              <w:bottom w:val="single" w:sz="4" w:space="0" w:color="auto"/>
            </w:tcBorders>
            <w:vAlign w:val="center"/>
          </w:tcPr>
          <w:p w:rsidR="009A3466" w:rsidRPr="00EE1516" w:rsidRDefault="009A3466" w:rsidP="00D60F38">
            <w:pPr>
              <w:jc w:val="center"/>
              <w:rPr>
                <w:rFonts w:ascii="仿宋" w:eastAsia="仿宋" w:hAnsi="仿宋" w:cs="Times New Roman"/>
                <w:sz w:val="28"/>
                <w:szCs w:val="28"/>
              </w:rPr>
            </w:pPr>
            <w:r w:rsidRPr="00EE1516">
              <w:rPr>
                <w:rFonts w:ascii="仿宋" w:eastAsia="仿宋" w:hAnsi="仿宋" w:cs="仿宋" w:hint="eastAsia"/>
                <w:sz w:val="28"/>
                <w:szCs w:val="28"/>
              </w:rPr>
              <w:t>三至六年</w:t>
            </w:r>
          </w:p>
        </w:tc>
      </w:tr>
      <w:tr w:rsidR="00EE1516" w:rsidRPr="00EE1516" w:rsidTr="00D60F38">
        <w:trPr>
          <w:trHeight w:val="846"/>
        </w:trPr>
        <w:tc>
          <w:tcPr>
            <w:tcW w:w="2410" w:type="dxa"/>
            <w:tcBorders>
              <w:top w:val="single" w:sz="4" w:space="0" w:color="auto"/>
              <w:bottom w:val="single" w:sz="4" w:space="0" w:color="auto"/>
              <w:right w:val="single" w:sz="4" w:space="0" w:color="auto"/>
            </w:tcBorders>
            <w:vAlign w:val="center"/>
          </w:tcPr>
          <w:p w:rsidR="009A3466" w:rsidRPr="00EE1516" w:rsidRDefault="009A3466" w:rsidP="00D60F38">
            <w:pPr>
              <w:jc w:val="left"/>
              <w:outlineLvl w:val="0"/>
              <w:rPr>
                <w:rFonts w:ascii="Times New Roman" w:eastAsia="黑体" w:hAnsi="Times New Roman" w:cs="Times New Roman"/>
                <w:sz w:val="24"/>
                <w:szCs w:val="24"/>
              </w:rPr>
            </w:pPr>
            <w:r w:rsidRPr="00EE1516">
              <w:rPr>
                <w:rFonts w:ascii="Times New Roman" w:eastAsia="黑体" w:hAnsi="Times New Roman" w:cs="黑体" w:hint="eastAsia"/>
                <w:sz w:val="24"/>
                <w:szCs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9A3466" w:rsidRPr="00EE1516" w:rsidRDefault="009A3466" w:rsidP="00D60F38">
            <w:pPr>
              <w:rPr>
                <w:rFonts w:ascii="Times New Roman" w:eastAsia="仿宋_GB2312" w:hAnsi="Times New Roman" w:cs="Times New Roman"/>
                <w:sz w:val="24"/>
                <w:szCs w:val="24"/>
              </w:rPr>
            </w:pPr>
            <w:r w:rsidRPr="00EE1516">
              <w:rPr>
                <w:rFonts w:ascii="Times New Roman" w:eastAsia="仿宋_GB2312" w:hAnsi="Times New Roman" w:cs="仿宋_GB2312" w:hint="eastAsia"/>
                <w:sz w:val="24"/>
                <w:szCs w:val="24"/>
              </w:rPr>
              <w:t>（见附表）</w:t>
            </w:r>
          </w:p>
        </w:tc>
      </w:tr>
      <w:tr w:rsidR="00EE1516" w:rsidRPr="00EE1516" w:rsidTr="00D60F38">
        <w:trPr>
          <w:trHeight w:val="672"/>
        </w:trPr>
        <w:tc>
          <w:tcPr>
            <w:tcW w:w="2410" w:type="dxa"/>
            <w:tcBorders>
              <w:top w:val="single" w:sz="4" w:space="0" w:color="auto"/>
              <w:bottom w:val="single" w:sz="4" w:space="0" w:color="auto"/>
              <w:right w:val="single" w:sz="4" w:space="0" w:color="auto"/>
            </w:tcBorders>
            <w:vAlign w:val="center"/>
          </w:tcPr>
          <w:p w:rsidR="009A3466" w:rsidRPr="00EE1516" w:rsidRDefault="009A3466" w:rsidP="00D60F38">
            <w:pPr>
              <w:jc w:val="left"/>
              <w:outlineLvl w:val="0"/>
              <w:rPr>
                <w:rFonts w:ascii="Times New Roman" w:eastAsia="黑体" w:hAnsi="Times New Roman" w:cs="Times New Roman"/>
                <w:sz w:val="24"/>
                <w:szCs w:val="24"/>
              </w:rPr>
            </w:pPr>
            <w:r w:rsidRPr="00EE1516">
              <w:rPr>
                <w:rFonts w:ascii="Times New Roman" w:eastAsia="黑体" w:hAnsi="Times New Roman" w:cs="黑体" w:hint="eastAsia"/>
                <w:sz w:val="24"/>
                <w:szCs w:val="24"/>
              </w:rPr>
              <w:t>六、培养方式</w:t>
            </w:r>
          </w:p>
        </w:tc>
        <w:tc>
          <w:tcPr>
            <w:tcW w:w="6521" w:type="dxa"/>
            <w:gridSpan w:val="4"/>
            <w:tcBorders>
              <w:top w:val="single" w:sz="4" w:space="0" w:color="auto"/>
              <w:left w:val="single" w:sz="4" w:space="0" w:color="auto"/>
              <w:bottom w:val="single" w:sz="4" w:space="0" w:color="auto"/>
            </w:tcBorders>
            <w:vAlign w:val="center"/>
          </w:tcPr>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sz w:val="24"/>
                <w:szCs w:val="24"/>
              </w:rPr>
              <w:t>1.</w:t>
            </w:r>
            <w:r w:rsidRPr="00EE1516">
              <w:rPr>
                <w:rFonts w:ascii="仿宋_GB2312" w:eastAsia="仿宋_GB2312" w:cs="仿宋_GB2312" w:hint="eastAsia"/>
                <w:sz w:val="24"/>
                <w:szCs w:val="24"/>
              </w:rPr>
              <w:t>本专业博士生的培养实行以博导集体培养和导师个人负责的机制，同时充分发挥和利用已有的学术资源，吸收和引进其他培养力量参与博士生的教育教学和培养。</w:t>
            </w:r>
          </w:p>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sz w:val="24"/>
                <w:szCs w:val="24"/>
              </w:rPr>
              <w:t>2.</w:t>
            </w:r>
            <w:r w:rsidRPr="00EE1516">
              <w:rPr>
                <w:rFonts w:ascii="仿宋_GB2312" w:eastAsia="仿宋_GB2312" w:cs="仿宋_GB2312" w:hint="eastAsia"/>
                <w:sz w:val="24"/>
                <w:szCs w:val="24"/>
              </w:rPr>
              <w:t>博士生的教育教学除完成本培养方案规定的内容，重点围绕博士学位论文的研究和撰写，深入开展课题研究，努力实现理论创新和方法创新。</w:t>
            </w:r>
          </w:p>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sz w:val="24"/>
                <w:szCs w:val="24"/>
              </w:rPr>
              <w:t>3.</w:t>
            </w:r>
            <w:r w:rsidRPr="00EE1516">
              <w:rPr>
                <w:rFonts w:ascii="仿宋_GB2312" w:eastAsia="仿宋_GB2312" w:cs="仿宋_GB2312" w:hint="eastAsia"/>
                <w:sz w:val="24"/>
                <w:szCs w:val="24"/>
              </w:rPr>
              <w:t>对博士生培养的每个重要环节应适时监控，每个重要阶段应予适当评估，以充分保障和不断提高博士生的培养质量。</w:t>
            </w:r>
          </w:p>
        </w:tc>
      </w:tr>
      <w:tr w:rsidR="00EE1516" w:rsidRPr="00EE1516" w:rsidTr="00D60F38">
        <w:trPr>
          <w:trHeight w:val="620"/>
        </w:trPr>
        <w:tc>
          <w:tcPr>
            <w:tcW w:w="2410" w:type="dxa"/>
            <w:tcBorders>
              <w:top w:val="single" w:sz="4" w:space="0" w:color="auto"/>
              <w:bottom w:val="single" w:sz="4" w:space="0" w:color="auto"/>
              <w:right w:val="single" w:sz="4" w:space="0" w:color="auto"/>
            </w:tcBorders>
            <w:vAlign w:val="center"/>
          </w:tcPr>
          <w:p w:rsidR="009A3466" w:rsidRPr="00EE1516" w:rsidRDefault="009A3466" w:rsidP="00D60F38">
            <w:pPr>
              <w:jc w:val="left"/>
              <w:outlineLvl w:val="0"/>
              <w:rPr>
                <w:rFonts w:ascii="Times New Roman" w:eastAsia="黑体" w:hAnsi="Times New Roman" w:cs="Times New Roman"/>
                <w:sz w:val="24"/>
                <w:szCs w:val="24"/>
              </w:rPr>
            </w:pPr>
            <w:r w:rsidRPr="00EE1516">
              <w:rPr>
                <w:rFonts w:ascii="Times New Roman" w:eastAsia="黑体" w:hAnsi="Times New Roman" w:cs="黑体" w:hint="eastAsia"/>
                <w:sz w:val="24"/>
                <w:szCs w:val="24"/>
              </w:rPr>
              <w:t>七、质量标准</w:t>
            </w:r>
          </w:p>
        </w:tc>
        <w:tc>
          <w:tcPr>
            <w:tcW w:w="6521" w:type="dxa"/>
            <w:gridSpan w:val="4"/>
            <w:tcBorders>
              <w:top w:val="single" w:sz="4" w:space="0" w:color="auto"/>
              <w:left w:val="single" w:sz="4" w:space="0" w:color="auto"/>
              <w:bottom w:val="single" w:sz="4" w:space="0" w:color="auto"/>
            </w:tcBorders>
            <w:vAlign w:val="center"/>
          </w:tcPr>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sz w:val="24"/>
                <w:szCs w:val="24"/>
              </w:rPr>
              <w:t>1</w:t>
            </w:r>
            <w:r w:rsidRPr="00EE1516">
              <w:rPr>
                <w:rFonts w:ascii="仿宋_GB2312" w:eastAsia="仿宋_GB2312" w:cs="仿宋_GB2312" w:hint="eastAsia"/>
                <w:sz w:val="24"/>
                <w:szCs w:val="24"/>
              </w:rPr>
              <w:t>．本专业博士研究生学位基础课和学位专业课成绩分为优、良、中、及格和不及格</w:t>
            </w:r>
            <w:r w:rsidRPr="00EE1516">
              <w:rPr>
                <w:rFonts w:ascii="仿宋_GB2312" w:eastAsia="仿宋_GB2312" w:cs="仿宋_GB2312"/>
                <w:sz w:val="24"/>
                <w:szCs w:val="24"/>
              </w:rPr>
              <w:t>5</w:t>
            </w:r>
            <w:r w:rsidRPr="00EE1516">
              <w:rPr>
                <w:rFonts w:ascii="仿宋_GB2312" w:eastAsia="仿宋_GB2312" w:cs="仿宋_GB2312" w:hint="eastAsia"/>
                <w:sz w:val="24"/>
                <w:szCs w:val="24"/>
              </w:rPr>
              <w:t>个等级。</w:t>
            </w:r>
          </w:p>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sz w:val="24"/>
                <w:szCs w:val="24"/>
              </w:rPr>
              <w:t>2</w:t>
            </w:r>
            <w:r w:rsidRPr="00EE1516">
              <w:rPr>
                <w:rFonts w:ascii="仿宋_GB2312" w:eastAsia="仿宋_GB2312" w:cs="仿宋_GB2312" w:hint="eastAsia"/>
                <w:sz w:val="24"/>
                <w:szCs w:val="24"/>
              </w:rPr>
              <w:t>．本专业博士研究生学位基础课和学位专业课成绩均应达到优良。</w:t>
            </w:r>
          </w:p>
          <w:p w:rsidR="009A3466" w:rsidRPr="00EE1516" w:rsidRDefault="009A3466" w:rsidP="00D60F38">
            <w:pPr>
              <w:ind w:firstLineChars="200" w:firstLine="480"/>
              <w:rPr>
                <w:rFonts w:ascii="仿宋_GB2312" w:eastAsia="仿宋_GB2312" w:cs="Times New Roman"/>
                <w:sz w:val="24"/>
                <w:szCs w:val="24"/>
              </w:rPr>
            </w:pPr>
            <w:r w:rsidRPr="00EE1516">
              <w:rPr>
                <w:rFonts w:ascii="仿宋_GB2312" w:eastAsia="仿宋_GB2312" w:cs="仿宋_GB2312"/>
                <w:sz w:val="24"/>
                <w:szCs w:val="24"/>
              </w:rPr>
              <w:t>3</w:t>
            </w:r>
            <w:r w:rsidRPr="00EE1516">
              <w:rPr>
                <w:rFonts w:ascii="仿宋_GB2312" w:eastAsia="仿宋_GB2312" w:cs="仿宋_GB2312" w:hint="eastAsia"/>
                <w:sz w:val="24"/>
                <w:szCs w:val="24"/>
              </w:rPr>
              <w:t>．具有敏锐的思维和分析能力，能够判断研究问题的价值，跟踪学术前沿，进行理论和知识创新。</w:t>
            </w:r>
          </w:p>
          <w:p w:rsidR="009A3466" w:rsidRPr="00EE1516" w:rsidRDefault="009A3466" w:rsidP="00D60F38">
            <w:pPr>
              <w:ind w:firstLineChars="200" w:firstLine="480"/>
              <w:rPr>
                <w:rFonts w:ascii="仿宋_GB2312" w:eastAsia="仿宋_GB2312" w:cs="Times New Roman"/>
                <w:sz w:val="24"/>
                <w:szCs w:val="24"/>
              </w:rPr>
            </w:pPr>
            <w:r w:rsidRPr="00EE1516">
              <w:rPr>
                <w:rFonts w:ascii="仿宋_GB2312" w:eastAsia="仿宋_GB2312" w:cs="仿宋_GB2312"/>
                <w:sz w:val="24"/>
                <w:szCs w:val="24"/>
              </w:rPr>
              <w:t>4.</w:t>
            </w:r>
            <w:r w:rsidRPr="00EE1516">
              <w:rPr>
                <w:rFonts w:ascii="仿宋_GB2312" w:eastAsia="仿宋_GB2312" w:cs="仿宋_GB2312" w:hint="eastAsia"/>
                <w:sz w:val="24"/>
                <w:szCs w:val="24"/>
              </w:rPr>
              <w:t>具有学术研究的感悟力，理解学术研究的真谛，掌握科学的研究方法和研究规范，不断开拓新的领域并做出自己的创造性贡献。</w:t>
            </w:r>
          </w:p>
          <w:p w:rsidR="009A3466" w:rsidRPr="00EE1516" w:rsidRDefault="009A3466" w:rsidP="00D60F38">
            <w:pPr>
              <w:ind w:firstLineChars="200" w:firstLine="480"/>
              <w:rPr>
                <w:rFonts w:ascii="仿宋_GB2312" w:eastAsia="仿宋_GB2312" w:cs="Times New Roman"/>
                <w:sz w:val="24"/>
                <w:szCs w:val="24"/>
              </w:rPr>
            </w:pPr>
            <w:r w:rsidRPr="00EE1516">
              <w:rPr>
                <w:rFonts w:ascii="仿宋_GB2312" w:eastAsia="仿宋_GB2312" w:cs="仿宋_GB2312"/>
                <w:sz w:val="24"/>
                <w:szCs w:val="24"/>
              </w:rPr>
              <w:t>5.</w:t>
            </w:r>
            <w:r w:rsidRPr="00EE1516">
              <w:rPr>
                <w:rFonts w:ascii="仿宋_GB2312" w:eastAsia="仿宋_GB2312" w:cs="仿宋_GB2312" w:hint="eastAsia"/>
                <w:sz w:val="24"/>
                <w:szCs w:val="24"/>
              </w:rPr>
              <w:t>本专业博士研究生应具有从事法律实务的良好条件和能力，对现实问题有敏锐的洞察力，并能提炼成法学学术问题，进行理论升华与创新。</w:t>
            </w:r>
          </w:p>
          <w:p w:rsidR="009A3466" w:rsidRPr="00EE1516" w:rsidRDefault="009A3466" w:rsidP="00D60F38">
            <w:pPr>
              <w:ind w:firstLineChars="200" w:firstLine="480"/>
              <w:rPr>
                <w:rFonts w:ascii="仿宋_GB2312" w:eastAsia="仿宋_GB2312" w:hAnsi="Times New Roman" w:cs="Times New Roman"/>
                <w:sz w:val="24"/>
                <w:szCs w:val="24"/>
              </w:rPr>
            </w:pPr>
            <w:r w:rsidRPr="00EE1516">
              <w:rPr>
                <w:rFonts w:ascii="仿宋_GB2312" w:eastAsia="仿宋_GB2312" w:cs="仿宋_GB2312"/>
                <w:sz w:val="24"/>
                <w:szCs w:val="24"/>
              </w:rPr>
              <w:t>6.</w:t>
            </w:r>
            <w:r w:rsidRPr="00EE1516">
              <w:rPr>
                <w:rFonts w:ascii="仿宋_GB2312" w:eastAsia="仿宋_GB2312" w:cs="仿宋_GB2312" w:hint="eastAsia"/>
                <w:sz w:val="24"/>
                <w:szCs w:val="24"/>
              </w:rPr>
              <w:t>本专业博士研究生应精通一门外语，能熟练地阅读本专业的外文资料，达到较高的国际化程度，具有开阔的全球视野，具有较强国际学术交流与合作工作能力。</w:t>
            </w:r>
          </w:p>
        </w:tc>
      </w:tr>
      <w:tr w:rsidR="00EE1516" w:rsidRPr="00EE1516" w:rsidTr="00D60F38">
        <w:trPr>
          <w:trHeight w:val="984"/>
        </w:trPr>
        <w:tc>
          <w:tcPr>
            <w:tcW w:w="2410" w:type="dxa"/>
            <w:tcBorders>
              <w:top w:val="single" w:sz="4" w:space="0" w:color="auto"/>
              <w:bottom w:val="single" w:sz="4" w:space="0" w:color="auto"/>
              <w:right w:val="single" w:sz="4" w:space="0" w:color="auto"/>
            </w:tcBorders>
            <w:vAlign w:val="center"/>
          </w:tcPr>
          <w:p w:rsidR="009A3466" w:rsidRPr="00EE1516" w:rsidRDefault="009A3466" w:rsidP="00D60F38">
            <w:pPr>
              <w:jc w:val="left"/>
              <w:outlineLvl w:val="0"/>
              <w:rPr>
                <w:rFonts w:ascii="Times New Roman" w:eastAsia="黑体" w:hAnsi="Times New Roman" w:cs="Times New Roman"/>
                <w:sz w:val="24"/>
                <w:szCs w:val="24"/>
              </w:rPr>
            </w:pPr>
            <w:r w:rsidRPr="00EE1516">
              <w:rPr>
                <w:rFonts w:ascii="Times New Roman" w:eastAsia="黑体" w:hAnsi="Times New Roman" w:cs="黑体" w:hint="eastAsia"/>
                <w:sz w:val="24"/>
                <w:szCs w:val="24"/>
              </w:rPr>
              <w:t>八、考核方式</w:t>
            </w:r>
          </w:p>
        </w:tc>
        <w:tc>
          <w:tcPr>
            <w:tcW w:w="6521" w:type="dxa"/>
            <w:gridSpan w:val="4"/>
            <w:tcBorders>
              <w:top w:val="single" w:sz="4" w:space="0" w:color="auto"/>
              <w:left w:val="single" w:sz="4" w:space="0" w:color="auto"/>
              <w:bottom w:val="single" w:sz="4" w:space="0" w:color="auto"/>
            </w:tcBorders>
            <w:vAlign w:val="center"/>
          </w:tcPr>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sz w:val="24"/>
                <w:szCs w:val="24"/>
              </w:rPr>
              <w:t>1.</w:t>
            </w:r>
            <w:r w:rsidRPr="00EE1516">
              <w:rPr>
                <w:rFonts w:ascii="仿宋_GB2312" w:eastAsia="仿宋_GB2312" w:cs="仿宋_GB2312" w:hint="eastAsia"/>
                <w:sz w:val="24"/>
                <w:szCs w:val="24"/>
              </w:rPr>
              <w:t>本专业博士生培养实施严格的教育教学考核制度和博士生中期考核分流制度。</w:t>
            </w:r>
          </w:p>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sz w:val="24"/>
                <w:szCs w:val="24"/>
              </w:rPr>
              <w:t>2.</w:t>
            </w:r>
            <w:r w:rsidRPr="00EE1516">
              <w:rPr>
                <w:rFonts w:ascii="仿宋_GB2312" w:eastAsia="仿宋_GB2312" w:cs="仿宋_GB2312" w:hint="eastAsia"/>
                <w:sz w:val="24"/>
                <w:szCs w:val="24"/>
              </w:rPr>
              <w:t>对本培养方案规定的博士生培养的各项内容都应进行书面考核，并记入毕业总成绩中；凡总成绩不合格者不得毕</w:t>
            </w:r>
            <w:r w:rsidRPr="00EE1516">
              <w:rPr>
                <w:rFonts w:ascii="仿宋_GB2312" w:eastAsia="仿宋_GB2312" w:cs="仿宋_GB2312" w:hint="eastAsia"/>
                <w:sz w:val="24"/>
                <w:szCs w:val="24"/>
              </w:rPr>
              <w:lastRenderedPageBreak/>
              <w:t>业。</w:t>
            </w:r>
          </w:p>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sz w:val="24"/>
                <w:szCs w:val="24"/>
              </w:rPr>
              <w:t>3.</w:t>
            </w:r>
            <w:r w:rsidRPr="00EE1516">
              <w:rPr>
                <w:rFonts w:ascii="仿宋_GB2312" w:eastAsia="仿宋_GB2312" w:cs="仿宋_GB2312" w:hint="eastAsia"/>
                <w:sz w:val="24"/>
                <w:szCs w:val="24"/>
              </w:rPr>
              <w:t>博士生在完成本培养方案规定的全部教育教学内容之后，应进行中期考核；凡中期考核不及格者按有关规定予以分流，终止博士生的学习。</w:t>
            </w:r>
          </w:p>
          <w:p w:rsidR="009A3466" w:rsidRPr="00EE1516" w:rsidRDefault="009A3466" w:rsidP="00FE3F57">
            <w:pPr>
              <w:ind w:firstLine="482"/>
              <w:rPr>
                <w:rFonts w:ascii="仿宋_GB2312" w:eastAsia="仿宋_GB2312" w:cs="仿宋_GB2312"/>
                <w:sz w:val="24"/>
                <w:szCs w:val="24"/>
              </w:rPr>
            </w:pPr>
            <w:r w:rsidRPr="00EE1516">
              <w:rPr>
                <w:rFonts w:ascii="仿宋_GB2312" w:eastAsia="仿宋_GB2312" w:cs="仿宋_GB2312"/>
                <w:sz w:val="24"/>
                <w:szCs w:val="24"/>
              </w:rPr>
              <w:t>4.</w:t>
            </w:r>
            <w:r w:rsidR="00FE3F57" w:rsidRPr="00EE1516">
              <w:rPr>
                <w:rFonts w:hint="eastAsia"/>
              </w:rPr>
              <w:t xml:space="preserve"> </w:t>
            </w:r>
            <w:r w:rsidR="00FE3F57" w:rsidRPr="00EE1516">
              <w:rPr>
                <w:rFonts w:ascii="仿宋_GB2312" w:eastAsia="仿宋_GB2312" w:cs="仿宋_GB2312" w:hint="eastAsia"/>
                <w:sz w:val="24"/>
                <w:szCs w:val="24"/>
              </w:rPr>
              <w:t>博士研究生学位论文开题应当于中期考核合格后进行，一般应当于第三学期末或第四学期初完成。开题报告按照《中国政法大学博士研究生培养规定》的相关程序进行。</w:t>
            </w:r>
          </w:p>
        </w:tc>
      </w:tr>
      <w:tr w:rsidR="00EE1516" w:rsidRPr="00EE1516" w:rsidTr="00D60F38">
        <w:trPr>
          <w:trHeight w:val="842"/>
        </w:trPr>
        <w:tc>
          <w:tcPr>
            <w:tcW w:w="2410" w:type="dxa"/>
            <w:tcBorders>
              <w:top w:val="single" w:sz="4" w:space="0" w:color="auto"/>
              <w:bottom w:val="single" w:sz="4" w:space="0" w:color="auto"/>
              <w:right w:val="single" w:sz="4" w:space="0" w:color="auto"/>
            </w:tcBorders>
            <w:vAlign w:val="center"/>
          </w:tcPr>
          <w:p w:rsidR="009A3466" w:rsidRPr="00EE1516" w:rsidRDefault="009A3466" w:rsidP="00D60F38">
            <w:pPr>
              <w:jc w:val="left"/>
              <w:outlineLvl w:val="0"/>
              <w:rPr>
                <w:rFonts w:ascii="Times New Roman" w:eastAsia="黑体" w:hAnsi="Times New Roman" w:cs="Times New Roman"/>
                <w:sz w:val="24"/>
                <w:szCs w:val="24"/>
              </w:rPr>
            </w:pPr>
            <w:r w:rsidRPr="00EE1516">
              <w:rPr>
                <w:rFonts w:ascii="Times New Roman" w:eastAsia="黑体" w:hAnsi="Times New Roman" w:cs="黑体" w:hint="eastAsia"/>
                <w:sz w:val="24"/>
                <w:szCs w:val="24"/>
              </w:rPr>
              <w:lastRenderedPageBreak/>
              <w:t>九、学位论文选题与撰写</w:t>
            </w:r>
          </w:p>
        </w:tc>
        <w:tc>
          <w:tcPr>
            <w:tcW w:w="6521" w:type="dxa"/>
            <w:gridSpan w:val="4"/>
            <w:tcBorders>
              <w:top w:val="single" w:sz="4" w:space="0" w:color="auto"/>
              <w:left w:val="single" w:sz="4" w:space="0" w:color="auto"/>
              <w:bottom w:val="single" w:sz="4" w:space="0" w:color="auto"/>
            </w:tcBorders>
            <w:vAlign w:val="center"/>
          </w:tcPr>
          <w:p w:rsidR="009A3466" w:rsidRPr="00EE1516" w:rsidRDefault="005957E6"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1.</w:t>
            </w:r>
            <w:r w:rsidR="00D357BA" w:rsidRPr="00EE1516">
              <w:rPr>
                <w:rFonts w:hint="eastAsia"/>
              </w:rPr>
              <w:t xml:space="preserve"> </w:t>
            </w:r>
            <w:r w:rsidR="00D357BA" w:rsidRPr="00EE1516">
              <w:rPr>
                <w:rFonts w:ascii="仿宋_GB2312" w:eastAsia="仿宋_GB2312" w:cs="仿宋_GB2312" w:hint="eastAsia"/>
                <w:sz w:val="24"/>
                <w:szCs w:val="24"/>
              </w:rPr>
              <w:t>课程学习符合规定，并经中期考核合格，开题报告通过，方可进入博士论文撰写阶段。</w:t>
            </w:r>
          </w:p>
          <w:p w:rsidR="009A3466" w:rsidRPr="00EE1516" w:rsidRDefault="005957E6"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2.</w:t>
            </w:r>
            <w:r w:rsidR="009A3466" w:rsidRPr="00EE1516">
              <w:rPr>
                <w:rFonts w:ascii="仿宋_GB2312" w:eastAsia="仿宋_GB2312" w:cs="仿宋_GB2312" w:hint="eastAsia"/>
                <w:sz w:val="24"/>
                <w:szCs w:val="24"/>
              </w:rPr>
              <w:t>本专业博士生应在导师的指导下</w:t>
            </w:r>
            <w:r w:rsidR="00D357BA" w:rsidRPr="00EE1516">
              <w:rPr>
                <w:rFonts w:ascii="仿宋_GB2312" w:eastAsia="仿宋_GB2312" w:cs="仿宋_GB2312" w:hint="eastAsia"/>
                <w:sz w:val="24"/>
                <w:szCs w:val="24"/>
              </w:rPr>
              <w:t>进行选题；博士学位论文的选题应当具备开拓性、先进性、成果的必要性与可能性。鼓励研究生自主选择学科前沿课题和有重要应用价值的选题，并注重创新性和先进性。论文选题、结构、依据和资料准备须经专门组织的博士论文开题报告会进行论证。</w:t>
            </w:r>
          </w:p>
          <w:p w:rsidR="009A3466" w:rsidRPr="00EE1516" w:rsidRDefault="005957E6"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3.</w:t>
            </w:r>
            <w:r w:rsidR="00D357BA" w:rsidRPr="00EE1516">
              <w:rPr>
                <w:rFonts w:hint="eastAsia"/>
              </w:rPr>
              <w:t xml:space="preserve"> </w:t>
            </w:r>
            <w:r w:rsidR="00D357BA" w:rsidRPr="00EE1516">
              <w:rPr>
                <w:rFonts w:ascii="仿宋_GB2312" w:eastAsia="仿宋_GB2312" w:cs="仿宋_GB2312" w:hint="eastAsia"/>
                <w:sz w:val="24"/>
                <w:szCs w:val="24"/>
              </w:rPr>
              <w:t>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9A3466" w:rsidRPr="00EE1516" w:rsidRDefault="005957E6"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4.</w:t>
            </w:r>
            <w:r w:rsidR="00D357BA" w:rsidRPr="00EE1516">
              <w:rPr>
                <w:rFonts w:hint="eastAsia"/>
              </w:rPr>
              <w:t xml:space="preserve"> </w:t>
            </w:r>
            <w:r w:rsidR="00D357BA" w:rsidRPr="00EE1516">
              <w:rPr>
                <w:rFonts w:ascii="仿宋_GB2312" w:eastAsia="仿宋_GB2312" w:cs="仿宋_GB2312" w:hint="eastAsia"/>
                <w:sz w:val="24"/>
                <w:szCs w:val="24"/>
              </w:rPr>
              <w:t>博士论文必须符合学校对博士论文的原创性和规范性要求，严禁剽窃和抄袭，且正文字数不低于15万字。</w:t>
            </w:r>
          </w:p>
        </w:tc>
      </w:tr>
      <w:tr w:rsidR="00EE1516" w:rsidRPr="00EE1516" w:rsidTr="00D60F38">
        <w:trPr>
          <w:trHeight w:val="1207"/>
        </w:trPr>
        <w:tc>
          <w:tcPr>
            <w:tcW w:w="2410" w:type="dxa"/>
            <w:tcBorders>
              <w:top w:val="single" w:sz="4" w:space="0" w:color="auto"/>
              <w:bottom w:val="single" w:sz="4" w:space="0" w:color="auto"/>
              <w:right w:val="single" w:sz="4" w:space="0" w:color="auto"/>
            </w:tcBorders>
            <w:vAlign w:val="center"/>
          </w:tcPr>
          <w:p w:rsidR="009A3466" w:rsidRPr="00EE1516" w:rsidRDefault="009A3466" w:rsidP="00D60F38">
            <w:pPr>
              <w:jc w:val="left"/>
              <w:outlineLvl w:val="0"/>
              <w:rPr>
                <w:rFonts w:ascii="Times New Roman" w:eastAsia="黑体" w:hAnsi="Times New Roman" w:cs="Times New Roman"/>
                <w:sz w:val="24"/>
                <w:szCs w:val="24"/>
              </w:rPr>
            </w:pPr>
            <w:r w:rsidRPr="00EE1516">
              <w:rPr>
                <w:rFonts w:ascii="Times New Roman" w:eastAsia="黑体" w:hAnsi="Times New Roman" w:cs="黑体" w:hint="eastAsia"/>
                <w:sz w:val="24"/>
                <w:szCs w:val="24"/>
              </w:rPr>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9A3466" w:rsidRPr="00EE1516" w:rsidRDefault="009A3466" w:rsidP="00D60F38">
            <w:pPr>
              <w:ind w:firstLine="482"/>
              <w:rPr>
                <w:rFonts w:ascii="仿宋_GB2312" w:eastAsia="仿宋_GB2312" w:cs="Times New Roman"/>
                <w:sz w:val="24"/>
                <w:szCs w:val="24"/>
              </w:rPr>
            </w:pPr>
            <w:r w:rsidRPr="00EE1516">
              <w:rPr>
                <w:rFonts w:ascii="仿宋_GB2312" w:eastAsia="仿宋_GB2312" w:cs="仿宋_GB2312"/>
                <w:sz w:val="24"/>
                <w:szCs w:val="24"/>
              </w:rPr>
              <w:t>1</w:t>
            </w:r>
            <w:r w:rsidRPr="00EE1516">
              <w:rPr>
                <w:rFonts w:ascii="仿宋_GB2312" w:eastAsia="仿宋_GB2312" w:cs="仿宋_GB2312" w:hint="eastAsia"/>
                <w:sz w:val="24"/>
                <w:szCs w:val="24"/>
              </w:rPr>
              <w:t>．本专业博</w:t>
            </w:r>
            <w:r w:rsidR="00D357BA" w:rsidRPr="00EE1516">
              <w:rPr>
                <w:rFonts w:ascii="仿宋_GB2312" w:eastAsia="仿宋_GB2312" w:cs="仿宋_GB2312" w:hint="eastAsia"/>
                <w:sz w:val="24"/>
                <w:szCs w:val="24"/>
              </w:rPr>
              <w:t>士论文按照《中华人民共和国学位条例》规定的条件、程序和原则进行。</w:t>
            </w:r>
          </w:p>
          <w:p w:rsidR="009A3466" w:rsidRPr="00EE1516" w:rsidRDefault="009A3466" w:rsidP="00D60F38">
            <w:pPr>
              <w:ind w:firstLine="482"/>
              <w:rPr>
                <w:rFonts w:ascii="仿宋_GB2312" w:eastAsia="仿宋_GB2312" w:cs="仿宋_GB2312"/>
                <w:sz w:val="24"/>
                <w:szCs w:val="24"/>
              </w:rPr>
            </w:pPr>
            <w:r w:rsidRPr="00EE1516">
              <w:rPr>
                <w:rFonts w:ascii="仿宋_GB2312" w:eastAsia="仿宋_GB2312" w:cs="仿宋_GB2312"/>
                <w:sz w:val="24"/>
                <w:szCs w:val="24"/>
              </w:rPr>
              <w:t>2</w:t>
            </w:r>
            <w:r w:rsidRPr="00EE1516">
              <w:rPr>
                <w:rFonts w:ascii="仿宋_GB2312" w:eastAsia="仿宋_GB2312" w:cs="仿宋_GB2312" w:hint="eastAsia"/>
                <w:sz w:val="24"/>
                <w:szCs w:val="24"/>
              </w:rPr>
              <w:t>．</w:t>
            </w:r>
            <w:r w:rsidR="00D357BA" w:rsidRPr="00EE1516">
              <w:rPr>
                <w:rFonts w:ascii="仿宋_GB2312" w:eastAsia="仿宋_GB2312" w:cs="仿宋_GB2312" w:hint="eastAsia"/>
                <w:sz w:val="24"/>
                <w:szCs w:val="24"/>
              </w:rPr>
              <w:t>博士论文答辩申请人应在答辩前履行必要的手续，准备申请所需的一切材料；论文的原创性检查、评审、导师回避等按照学位办相关规定进行。</w:t>
            </w:r>
          </w:p>
          <w:p w:rsidR="00D357BA" w:rsidRPr="00EE1516" w:rsidRDefault="00D357BA" w:rsidP="00D60F38">
            <w:pPr>
              <w:ind w:firstLine="482"/>
              <w:rPr>
                <w:rFonts w:ascii="仿宋_GB2312" w:eastAsia="仿宋_GB2312" w:cs="仿宋_GB2312"/>
                <w:sz w:val="24"/>
                <w:szCs w:val="24"/>
              </w:rPr>
            </w:pPr>
            <w:r w:rsidRPr="00EE1516">
              <w:rPr>
                <w:rFonts w:ascii="仿宋_GB2312" w:eastAsia="仿宋_GB2312" w:cs="仿宋_GB2312" w:hint="eastAsia"/>
                <w:sz w:val="24"/>
                <w:szCs w:val="24"/>
              </w:rPr>
              <w:t>3. 本专业建立并实行预答辩制度。预答辩</w:t>
            </w:r>
            <w:r w:rsidR="00FE3F57" w:rsidRPr="00EE1516">
              <w:rPr>
                <w:rFonts w:ascii="仿宋_GB2312" w:eastAsia="仿宋_GB2312" w:cs="仿宋_GB2312" w:hint="eastAsia"/>
                <w:sz w:val="24"/>
                <w:szCs w:val="24"/>
              </w:rPr>
              <w:t>应</w:t>
            </w:r>
            <w:r w:rsidRPr="00EE1516">
              <w:rPr>
                <w:rFonts w:ascii="仿宋_GB2312" w:eastAsia="仿宋_GB2312" w:cs="仿宋_GB2312" w:hint="eastAsia"/>
                <w:sz w:val="24"/>
                <w:szCs w:val="24"/>
              </w:rPr>
              <w:t>在答辩前一学期进行，由导师邀请本学科</w:t>
            </w:r>
            <w:r w:rsidRPr="00EE1516">
              <w:rPr>
                <w:rFonts w:ascii="仿宋_GB2312" w:eastAsia="仿宋_GB2312" w:cs="仿宋_GB2312"/>
                <w:sz w:val="24"/>
                <w:szCs w:val="24"/>
              </w:rPr>
              <w:t>3-5</w:t>
            </w:r>
            <w:r w:rsidRPr="00EE1516">
              <w:rPr>
                <w:rFonts w:ascii="仿宋_GB2312" w:eastAsia="仿宋_GB2312" w:cs="仿宋_GB2312" w:hint="eastAsia"/>
                <w:sz w:val="24"/>
                <w:szCs w:val="24"/>
              </w:rPr>
              <w:t>名专家参加。预答辩未通过者不得申请答辩。</w:t>
            </w:r>
          </w:p>
          <w:p w:rsidR="009A3466" w:rsidRPr="00EE1516" w:rsidRDefault="00FE3F57"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4</w:t>
            </w:r>
            <w:r w:rsidR="009A3466" w:rsidRPr="00EE1516">
              <w:rPr>
                <w:rFonts w:ascii="仿宋_GB2312" w:eastAsia="仿宋_GB2312" w:cs="仿宋_GB2312" w:hint="eastAsia"/>
                <w:sz w:val="24"/>
                <w:szCs w:val="24"/>
              </w:rPr>
              <w:t>.博士研究生在递交申请学位申请材料前，应以中国政法大学博士研究生名义在核心期刊上独立或者以第一作者身份发表2篇学术论文，且每篇不少于5000字。核心期刊的认定范围根据《中国政法大学科研管理典》的规定认定。</w:t>
            </w:r>
          </w:p>
          <w:p w:rsidR="009A3466" w:rsidRPr="00EE1516" w:rsidRDefault="00FE3F57"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5</w:t>
            </w:r>
            <w:r w:rsidR="009A3466" w:rsidRPr="00EE1516">
              <w:rPr>
                <w:rFonts w:ascii="仿宋_GB2312" w:eastAsia="仿宋_GB2312" w:cs="仿宋_GB2312" w:hint="eastAsia"/>
                <w:sz w:val="24"/>
                <w:szCs w:val="24"/>
              </w:rPr>
              <w:t>．</w:t>
            </w:r>
            <w:r w:rsidR="00D357BA" w:rsidRPr="00EE1516">
              <w:rPr>
                <w:rFonts w:ascii="仿宋_GB2312" w:eastAsia="仿宋_GB2312" w:cs="仿宋_GB2312" w:hint="eastAsia"/>
                <w:sz w:val="24"/>
                <w:szCs w:val="24"/>
              </w:rPr>
              <w:t>论文答辩委员会由校内外5位以上（含5位）教授组成；论文评审与答辩程序依照规定进行；学位论文涉及实务问题的，可以吸收实务部门具有高级专业技术职务的专家参加答辩委员会。</w:t>
            </w:r>
          </w:p>
          <w:p w:rsidR="009A3466" w:rsidRPr="00EE1516" w:rsidRDefault="00FE3F57" w:rsidP="00D60F38">
            <w:pPr>
              <w:ind w:firstLine="482"/>
              <w:rPr>
                <w:rFonts w:ascii="仿宋_GB2312" w:eastAsia="仿宋_GB2312" w:cs="Times New Roman"/>
                <w:sz w:val="24"/>
                <w:szCs w:val="24"/>
              </w:rPr>
            </w:pPr>
            <w:r w:rsidRPr="00EE1516">
              <w:rPr>
                <w:rFonts w:ascii="仿宋_GB2312" w:eastAsia="仿宋_GB2312" w:cs="仿宋_GB2312" w:hint="eastAsia"/>
                <w:sz w:val="24"/>
                <w:szCs w:val="24"/>
              </w:rPr>
              <w:t>6</w:t>
            </w:r>
            <w:r w:rsidR="009A3466" w:rsidRPr="00EE1516">
              <w:rPr>
                <w:rFonts w:ascii="仿宋_GB2312" w:eastAsia="仿宋_GB2312" w:cs="仿宋_GB2312" w:hint="eastAsia"/>
                <w:sz w:val="24"/>
                <w:szCs w:val="24"/>
              </w:rPr>
              <w:t>．</w:t>
            </w:r>
            <w:r w:rsidR="00D357BA" w:rsidRPr="00EE1516">
              <w:rPr>
                <w:rFonts w:ascii="仿宋_GB2312" w:eastAsia="仿宋_GB2312" w:cs="仿宋_GB2312" w:hint="eastAsia"/>
                <w:sz w:val="24"/>
                <w:szCs w:val="24"/>
              </w:rPr>
              <w:t>博士学位的授予应符合《中国政法大学学位授予办法》（法大发〔2016〕44号）和《中华人民共和国学位条例》的要求。</w:t>
            </w:r>
          </w:p>
        </w:tc>
      </w:tr>
      <w:tr w:rsidR="00EE1516" w:rsidRPr="00EE1516" w:rsidTr="00D60F38">
        <w:trPr>
          <w:trHeight w:val="1207"/>
        </w:trPr>
        <w:tc>
          <w:tcPr>
            <w:tcW w:w="2410" w:type="dxa"/>
            <w:tcBorders>
              <w:top w:val="single" w:sz="4" w:space="0" w:color="auto"/>
              <w:bottom w:val="single" w:sz="4" w:space="0" w:color="auto"/>
              <w:right w:val="single" w:sz="4" w:space="0" w:color="auto"/>
            </w:tcBorders>
            <w:vAlign w:val="center"/>
          </w:tcPr>
          <w:p w:rsidR="009A3466" w:rsidRPr="00EE1516" w:rsidRDefault="009A3466" w:rsidP="00D60F38">
            <w:pPr>
              <w:jc w:val="left"/>
              <w:outlineLvl w:val="0"/>
              <w:rPr>
                <w:rFonts w:ascii="Times New Roman" w:eastAsia="黑体" w:hAnsi="Times New Roman" w:cs="Times New Roman"/>
                <w:sz w:val="24"/>
                <w:szCs w:val="24"/>
              </w:rPr>
            </w:pPr>
            <w:r w:rsidRPr="00EE1516">
              <w:rPr>
                <w:rFonts w:ascii="Times New Roman" w:eastAsia="黑体" w:hAnsi="Times New Roman" w:cs="黑体" w:hint="eastAsia"/>
                <w:sz w:val="24"/>
                <w:szCs w:val="24"/>
              </w:rPr>
              <w:t>十一、参考文献</w:t>
            </w:r>
          </w:p>
        </w:tc>
        <w:tc>
          <w:tcPr>
            <w:tcW w:w="6521" w:type="dxa"/>
            <w:gridSpan w:val="4"/>
            <w:tcBorders>
              <w:top w:val="single" w:sz="4" w:space="0" w:color="auto"/>
              <w:left w:val="single" w:sz="4" w:space="0" w:color="auto"/>
              <w:bottom w:val="single" w:sz="4" w:space="0" w:color="auto"/>
            </w:tcBorders>
            <w:vAlign w:val="center"/>
          </w:tcPr>
          <w:p w:rsidR="009A3466" w:rsidRPr="00EE1516" w:rsidRDefault="009A3466" w:rsidP="00D60F38">
            <w:pPr>
              <w:rPr>
                <w:rFonts w:ascii="Times New Roman" w:eastAsia="仿宋_GB2312" w:hAnsi="Times New Roman" w:cs="Times New Roman"/>
                <w:sz w:val="24"/>
                <w:szCs w:val="24"/>
              </w:rPr>
            </w:pPr>
          </w:p>
          <w:p w:rsidR="009A3466" w:rsidRPr="00EE1516" w:rsidRDefault="009A3466" w:rsidP="00D60F38">
            <w:pPr>
              <w:ind w:firstLineChars="150" w:firstLine="361"/>
              <w:rPr>
                <w:rFonts w:ascii="仿宋" w:eastAsia="仿宋" w:hAnsi="仿宋" w:cs="Times New Roman"/>
                <w:b/>
                <w:bCs/>
                <w:sz w:val="24"/>
                <w:szCs w:val="24"/>
              </w:rPr>
            </w:pPr>
            <w:r w:rsidRPr="00EE1516">
              <w:rPr>
                <w:rFonts w:ascii="仿宋" w:eastAsia="仿宋" w:hAnsi="仿宋" w:cs="仿宋" w:hint="eastAsia"/>
                <w:b/>
                <w:bCs/>
                <w:sz w:val="24"/>
                <w:szCs w:val="24"/>
              </w:rPr>
              <w:t>（一）中文书目</w:t>
            </w:r>
          </w:p>
          <w:p w:rsidR="009A3466" w:rsidRPr="00EE1516" w:rsidRDefault="009A3466" w:rsidP="00D60F38">
            <w:pPr>
              <w:ind w:firstLineChars="200" w:firstLine="482"/>
              <w:rPr>
                <w:rFonts w:ascii="仿宋" w:eastAsia="仿宋" w:hAnsi="仿宋" w:cs="Times New Roman"/>
                <w:b/>
                <w:bCs/>
                <w:sz w:val="24"/>
                <w:szCs w:val="24"/>
              </w:rPr>
            </w:pPr>
            <w:r w:rsidRPr="00EE1516">
              <w:rPr>
                <w:rFonts w:ascii="仿宋" w:eastAsia="仿宋" w:hAnsi="仿宋" w:cs="仿宋"/>
                <w:b/>
                <w:bCs/>
                <w:sz w:val="24"/>
                <w:szCs w:val="24"/>
              </w:rPr>
              <w:t>1</w:t>
            </w:r>
            <w:r w:rsidRPr="00EE1516">
              <w:rPr>
                <w:rFonts w:ascii="仿宋" w:eastAsia="仿宋" w:hAnsi="仿宋" w:cs="仿宋" w:hint="eastAsia"/>
                <w:b/>
                <w:bCs/>
                <w:sz w:val="24"/>
                <w:szCs w:val="24"/>
              </w:rPr>
              <w:t>．著作类</w:t>
            </w:r>
          </w:p>
          <w:p w:rsidR="009A3466" w:rsidRPr="00EE1516" w:rsidRDefault="009A3466" w:rsidP="00D60F38">
            <w:pPr>
              <w:ind w:firstLineChars="200" w:firstLine="482"/>
              <w:rPr>
                <w:rFonts w:ascii="仿宋" w:eastAsia="仿宋" w:hAnsi="仿宋" w:cs="Times New Roman"/>
                <w:b/>
                <w:bCs/>
                <w:sz w:val="24"/>
                <w:szCs w:val="24"/>
              </w:rPr>
            </w:pPr>
            <w:r w:rsidRPr="00EE1516">
              <w:rPr>
                <w:rFonts w:ascii="仿宋" w:eastAsia="仿宋" w:hAnsi="仿宋" w:cs="仿宋" w:hint="eastAsia"/>
                <w:b/>
                <w:bCs/>
                <w:sz w:val="24"/>
                <w:szCs w:val="24"/>
              </w:rPr>
              <w:t>（</w:t>
            </w:r>
            <w:r w:rsidRPr="00EE1516">
              <w:rPr>
                <w:rFonts w:ascii="仿宋" w:eastAsia="仿宋" w:hAnsi="仿宋" w:cs="仿宋"/>
                <w:b/>
                <w:bCs/>
                <w:sz w:val="24"/>
                <w:szCs w:val="24"/>
              </w:rPr>
              <w:t>1</w:t>
            </w:r>
            <w:r w:rsidRPr="00EE1516">
              <w:rPr>
                <w:rFonts w:ascii="仿宋" w:eastAsia="仿宋" w:hAnsi="仿宋" w:cs="仿宋" w:hint="eastAsia"/>
                <w:b/>
                <w:bCs/>
                <w:sz w:val="24"/>
                <w:szCs w:val="24"/>
              </w:rPr>
              <w:t>）一般著作</w:t>
            </w:r>
          </w:p>
          <w:p w:rsidR="009A3466" w:rsidRPr="00EE1516" w:rsidRDefault="009A3466" w:rsidP="00D60F38">
            <w:pPr>
              <w:pStyle w:val="a3"/>
              <w:rPr>
                <w:rFonts w:ascii="仿宋_GB2312" w:eastAsia="仿宋_GB2312" w:hAnsi="仿宋"/>
                <w:kern w:val="2"/>
                <w:sz w:val="24"/>
                <w:szCs w:val="24"/>
              </w:rPr>
            </w:pPr>
            <w:r w:rsidRPr="00EE1516">
              <w:rPr>
                <w:rFonts w:ascii="仿宋_GB2312" w:eastAsia="仿宋_GB2312" w:hAnsi="仿宋" w:cs="仿宋_GB2312"/>
                <w:kern w:val="2"/>
                <w:sz w:val="24"/>
                <w:szCs w:val="24"/>
              </w:rPr>
              <w:t>1.</w:t>
            </w:r>
            <w:r w:rsidRPr="00EE1516">
              <w:rPr>
                <w:rFonts w:ascii="仿宋_GB2312" w:eastAsia="仿宋_GB2312" w:hAnsi="仿宋" w:cs="仿宋_GB2312"/>
                <w:kern w:val="2"/>
                <w:sz w:val="24"/>
                <w:szCs w:val="24"/>
              </w:rPr>
              <w:tab/>
            </w:r>
            <w:r w:rsidRPr="00EE1516">
              <w:rPr>
                <w:rFonts w:ascii="仿宋_GB2312" w:eastAsia="仿宋_GB2312" w:hAnsi="仿宋" w:cs="仿宋_GB2312" w:hint="eastAsia"/>
                <w:kern w:val="2"/>
                <w:sz w:val="24"/>
                <w:szCs w:val="24"/>
              </w:rPr>
              <w:t>江平、米健著：《罗马法基础（修订本第三版）》，中国政</w:t>
            </w:r>
            <w:r w:rsidRPr="00EE1516">
              <w:rPr>
                <w:rFonts w:ascii="仿宋_GB2312" w:eastAsia="仿宋_GB2312" w:hAnsi="仿宋" w:cs="仿宋_GB2312" w:hint="eastAsia"/>
                <w:kern w:val="2"/>
                <w:sz w:val="24"/>
                <w:szCs w:val="24"/>
              </w:rPr>
              <w:lastRenderedPageBreak/>
              <w:t>法大学出版社</w:t>
            </w:r>
            <w:r w:rsidRPr="00EE1516">
              <w:rPr>
                <w:rFonts w:ascii="仿宋_GB2312" w:eastAsia="仿宋_GB2312" w:hAnsi="仿宋" w:cs="仿宋_GB2312"/>
                <w:kern w:val="2"/>
                <w:sz w:val="24"/>
                <w:szCs w:val="24"/>
              </w:rPr>
              <w:t>2004</w:t>
            </w:r>
            <w:r w:rsidRPr="00EE1516">
              <w:rPr>
                <w:rFonts w:ascii="仿宋_GB2312" w:eastAsia="仿宋_GB2312" w:hAnsi="仿宋" w:cs="仿宋_GB2312" w:hint="eastAsia"/>
                <w:kern w:val="2"/>
                <w:sz w:val="24"/>
                <w:szCs w:val="24"/>
              </w:rPr>
              <w:t>年第四版</w:t>
            </w:r>
          </w:p>
          <w:p w:rsidR="009A3466" w:rsidRPr="00EE1516" w:rsidRDefault="009A3466" w:rsidP="00D60F38">
            <w:pPr>
              <w:pStyle w:val="a3"/>
              <w:rPr>
                <w:rFonts w:ascii="仿宋_GB2312" w:eastAsia="仿宋_GB2312" w:hAnsi="仿宋"/>
                <w:kern w:val="2"/>
                <w:sz w:val="24"/>
                <w:szCs w:val="24"/>
              </w:rPr>
            </w:pPr>
            <w:r w:rsidRPr="00EE1516">
              <w:rPr>
                <w:rFonts w:ascii="仿宋_GB2312" w:eastAsia="仿宋_GB2312" w:hAnsi="仿宋" w:cs="仿宋_GB2312"/>
                <w:kern w:val="2"/>
                <w:sz w:val="24"/>
                <w:szCs w:val="24"/>
              </w:rPr>
              <w:t>2.</w:t>
            </w:r>
            <w:r w:rsidRPr="00EE1516">
              <w:rPr>
                <w:rFonts w:ascii="仿宋_GB2312" w:eastAsia="仿宋_GB2312" w:hAnsi="仿宋" w:cs="仿宋_GB2312"/>
                <w:kern w:val="2"/>
                <w:sz w:val="24"/>
                <w:szCs w:val="24"/>
              </w:rPr>
              <w:tab/>
            </w:r>
            <w:r w:rsidRPr="00EE1516">
              <w:rPr>
                <w:rFonts w:ascii="仿宋_GB2312" w:eastAsia="仿宋_GB2312" w:hAnsi="仿宋" w:cs="仿宋_GB2312" w:hint="eastAsia"/>
                <w:kern w:val="2"/>
                <w:sz w:val="24"/>
                <w:szCs w:val="24"/>
              </w:rPr>
              <w:t>沈宗灵著：《比较法研究》，北京大学出版社</w:t>
            </w:r>
            <w:r w:rsidRPr="00EE1516">
              <w:rPr>
                <w:rFonts w:ascii="仿宋_GB2312" w:eastAsia="仿宋_GB2312" w:hAnsi="仿宋" w:cs="仿宋_GB2312"/>
                <w:kern w:val="2"/>
                <w:sz w:val="24"/>
                <w:szCs w:val="24"/>
              </w:rPr>
              <w:t>2008</w:t>
            </w:r>
            <w:r w:rsidRPr="00EE1516">
              <w:rPr>
                <w:rFonts w:ascii="仿宋_GB2312" w:eastAsia="仿宋_GB2312" w:hAnsi="仿宋" w:cs="仿宋_GB2312" w:hint="eastAsia"/>
                <w:kern w:val="2"/>
                <w:sz w:val="24"/>
                <w:szCs w:val="24"/>
              </w:rPr>
              <w:t>年版</w:t>
            </w:r>
          </w:p>
          <w:p w:rsidR="009A3466" w:rsidRPr="00EE1516" w:rsidRDefault="009A3466" w:rsidP="00D60F38">
            <w:pPr>
              <w:pStyle w:val="a3"/>
              <w:rPr>
                <w:rFonts w:ascii="仿宋_GB2312" w:eastAsia="仿宋_GB2312" w:hAnsi="仿宋"/>
                <w:kern w:val="2"/>
                <w:sz w:val="24"/>
                <w:szCs w:val="24"/>
              </w:rPr>
            </w:pPr>
            <w:r w:rsidRPr="00EE1516">
              <w:rPr>
                <w:rFonts w:ascii="仿宋_GB2312" w:eastAsia="仿宋_GB2312" w:hAnsi="仿宋" w:cs="仿宋_GB2312"/>
                <w:kern w:val="2"/>
                <w:sz w:val="24"/>
                <w:szCs w:val="24"/>
              </w:rPr>
              <w:t>3</w:t>
            </w:r>
            <w:r w:rsidRPr="00EE1516">
              <w:rPr>
                <w:rFonts w:ascii="仿宋_GB2312" w:eastAsia="仿宋_GB2312" w:hAnsi="仿宋" w:cs="仿宋_GB2312" w:hint="eastAsia"/>
                <w:kern w:val="2"/>
                <w:sz w:val="24"/>
                <w:szCs w:val="24"/>
              </w:rPr>
              <w:t>．刘兆兴著：《比较法学》，中国政法大学出版社</w:t>
            </w:r>
            <w:r w:rsidRPr="00EE1516">
              <w:rPr>
                <w:rFonts w:ascii="仿宋_GB2312" w:eastAsia="仿宋_GB2312" w:hAnsi="仿宋" w:cs="仿宋_GB2312"/>
                <w:kern w:val="2"/>
                <w:sz w:val="24"/>
                <w:szCs w:val="24"/>
              </w:rPr>
              <w:t>2013</w:t>
            </w:r>
            <w:r w:rsidRPr="00EE1516">
              <w:rPr>
                <w:rFonts w:ascii="仿宋_GB2312" w:eastAsia="仿宋_GB2312" w:hAnsi="仿宋" w:cs="仿宋_GB2312" w:hint="eastAsia"/>
                <w:kern w:val="2"/>
                <w:sz w:val="24"/>
                <w:szCs w:val="24"/>
              </w:rPr>
              <w:t>年版</w:t>
            </w:r>
          </w:p>
          <w:p w:rsidR="009A3466" w:rsidRPr="00EE1516" w:rsidRDefault="009A3466" w:rsidP="00D60F38">
            <w:pPr>
              <w:pStyle w:val="a3"/>
              <w:rPr>
                <w:rFonts w:ascii="仿宋_GB2312" w:eastAsia="仿宋_GB2312" w:hAnsi="仿宋" w:cs="仿宋_GB2312"/>
                <w:kern w:val="2"/>
                <w:sz w:val="24"/>
                <w:szCs w:val="24"/>
              </w:rPr>
            </w:pPr>
            <w:r w:rsidRPr="00EE1516">
              <w:rPr>
                <w:rFonts w:ascii="仿宋_GB2312" w:eastAsia="仿宋_GB2312" w:hAnsi="仿宋" w:cs="仿宋_GB2312"/>
                <w:kern w:val="2"/>
                <w:sz w:val="24"/>
                <w:szCs w:val="24"/>
              </w:rPr>
              <w:t>4</w:t>
            </w:r>
            <w:r w:rsidRPr="00EE1516">
              <w:rPr>
                <w:rFonts w:ascii="仿宋_GB2312" w:eastAsia="仿宋_GB2312" w:hAnsi="仿宋" w:cs="仿宋_GB2312" w:hint="eastAsia"/>
                <w:kern w:val="2"/>
                <w:sz w:val="24"/>
                <w:szCs w:val="24"/>
              </w:rPr>
              <w:t>．高鸿钧主编：《英美法原论》，北京大学出版社</w:t>
            </w:r>
            <w:r w:rsidRPr="00EE1516">
              <w:rPr>
                <w:rFonts w:ascii="仿宋_GB2312" w:eastAsia="仿宋_GB2312" w:hAnsi="仿宋" w:cs="仿宋_GB2312"/>
                <w:kern w:val="2"/>
                <w:sz w:val="24"/>
                <w:szCs w:val="24"/>
              </w:rPr>
              <w:t>2013</w:t>
            </w:r>
            <w:r w:rsidRPr="00EE1516">
              <w:rPr>
                <w:rFonts w:ascii="仿宋_GB2312" w:eastAsia="仿宋_GB2312" w:hAnsi="仿宋" w:cs="仿宋_GB2312" w:hint="eastAsia"/>
                <w:kern w:val="2"/>
                <w:sz w:val="24"/>
                <w:szCs w:val="24"/>
              </w:rPr>
              <w:t>年版。</w:t>
            </w:r>
          </w:p>
          <w:p w:rsidR="009A3466" w:rsidRPr="00EE1516" w:rsidRDefault="009A3466" w:rsidP="00D60F38">
            <w:pPr>
              <w:pStyle w:val="a3"/>
              <w:rPr>
                <w:rFonts w:ascii="仿宋_GB2312" w:eastAsia="仿宋_GB2312" w:hAnsi="仿宋"/>
                <w:kern w:val="2"/>
                <w:sz w:val="24"/>
                <w:szCs w:val="24"/>
              </w:rPr>
            </w:pPr>
          </w:p>
          <w:p w:rsidR="009A3466" w:rsidRPr="00EE1516" w:rsidRDefault="009A3466" w:rsidP="00D60F38">
            <w:pPr>
              <w:ind w:firstLineChars="200" w:firstLine="482"/>
              <w:rPr>
                <w:rFonts w:ascii="仿宋" w:eastAsia="仿宋" w:hAnsi="仿宋" w:cs="Times New Roman"/>
                <w:b/>
                <w:bCs/>
                <w:sz w:val="24"/>
                <w:szCs w:val="24"/>
              </w:rPr>
            </w:pPr>
            <w:r w:rsidRPr="00EE1516">
              <w:rPr>
                <w:rFonts w:ascii="仿宋" w:eastAsia="仿宋" w:hAnsi="仿宋" w:cs="仿宋" w:hint="eastAsia"/>
                <w:b/>
                <w:bCs/>
                <w:sz w:val="24"/>
                <w:szCs w:val="24"/>
              </w:rPr>
              <w:t>（</w:t>
            </w:r>
            <w:r w:rsidRPr="00EE1516">
              <w:rPr>
                <w:rFonts w:ascii="仿宋" w:eastAsia="仿宋" w:hAnsi="仿宋" w:cs="仿宋"/>
                <w:b/>
                <w:bCs/>
                <w:sz w:val="24"/>
                <w:szCs w:val="24"/>
              </w:rPr>
              <w:t>2</w:t>
            </w:r>
            <w:r w:rsidRPr="00EE1516">
              <w:rPr>
                <w:rFonts w:ascii="仿宋" w:eastAsia="仿宋" w:hAnsi="仿宋" w:cs="仿宋" w:hint="eastAsia"/>
                <w:b/>
                <w:bCs/>
                <w:sz w:val="24"/>
                <w:szCs w:val="24"/>
              </w:rPr>
              <w:t>）译著类</w:t>
            </w:r>
          </w:p>
          <w:p w:rsidR="009A3466" w:rsidRPr="00EE1516" w:rsidRDefault="009A3466" w:rsidP="00D60F38">
            <w:pPr>
              <w:numPr>
                <w:ilvl w:val="0"/>
                <w:numId w:val="1"/>
              </w:numPr>
              <w:tabs>
                <w:tab w:val="clear" w:pos="960"/>
                <w:tab w:val="num" w:pos="176"/>
              </w:tabs>
              <w:ind w:left="0" w:firstLine="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法</w:t>
            </w:r>
            <w:r w:rsidRPr="00EE1516">
              <w:rPr>
                <w:rFonts w:ascii="Times New Roman" w:eastAsia="仿宋_GB2312" w:hAnsi="Times New Roman" w:cs="Times New Roman"/>
                <w:sz w:val="24"/>
                <w:szCs w:val="24"/>
              </w:rPr>
              <w:t xml:space="preserve">] </w:t>
            </w:r>
            <w:r w:rsidRPr="00EE1516">
              <w:rPr>
                <w:rFonts w:ascii="Times New Roman" w:eastAsia="仿宋_GB2312" w:hAnsi="Times New Roman" w:cs="仿宋_GB2312" w:hint="eastAsia"/>
                <w:sz w:val="24"/>
                <w:szCs w:val="24"/>
              </w:rPr>
              <w:t>勒内</w:t>
            </w: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达维德著，漆竹生译：《当代世界主要法律体系》（</w:t>
            </w:r>
            <w:r w:rsidRPr="00EE1516">
              <w:rPr>
                <w:rFonts w:ascii="Times New Roman" w:eastAsia="仿宋_GB2312" w:hAnsi="Times New Roman" w:cs="Times New Roman"/>
                <w:sz w:val="24"/>
                <w:szCs w:val="24"/>
              </w:rPr>
              <w:t>Rene David, Les GrandsSystemes de DroitContemporains</w:t>
            </w:r>
            <w:r w:rsidRPr="00EE1516">
              <w:rPr>
                <w:rFonts w:ascii="Times New Roman" w:eastAsia="仿宋_GB2312" w:hAnsi="Times New Roman" w:cs="仿宋_GB2312" w:hint="eastAsia"/>
                <w:sz w:val="24"/>
                <w:szCs w:val="24"/>
              </w:rPr>
              <w:t>），上海译文出版社</w:t>
            </w:r>
            <w:r w:rsidRPr="00EE1516">
              <w:rPr>
                <w:rFonts w:ascii="Times New Roman" w:eastAsia="仿宋_GB2312" w:hAnsi="Times New Roman" w:cs="Times New Roman"/>
                <w:sz w:val="24"/>
                <w:szCs w:val="24"/>
              </w:rPr>
              <w:t>1984</w:t>
            </w:r>
            <w:r w:rsidRPr="00EE1516">
              <w:rPr>
                <w:rFonts w:ascii="Times New Roman" w:eastAsia="仿宋_GB2312" w:hAnsi="Times New Roman" w:cs="仿宋_GB2312" w:hint="eastAsia"/>
                <w:sz w:val="24"/>
                <w:szCs w:val="24"/>
              </w:rPr>
              <w:t>年版；</w:t>
            </w:r>
          </w:p>
          <w:p w:rsidR="009A3466" w:rsidRPr="00EE1516" w:rsidRDefault="009A3466" w:rsidP="00D60F38">
            <w:pPr>
              <w:numPr>
                <w:ilvl w:val="0"/>
                <w:numId w:val="1"/>
              </w:numPr>
              <w:tabs>
                <w:tab w:val="clear" w:pos="960"/>
                <w:tab w:val="num" w:pos="176"/>
              </w:tabs>
              <w:ind w:left="0" w:firstLine="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法</w:t>
            </w:r>
            <w:r w:rsidRPr="00EE1516">
              <w:rPr>
                <w:rFonts w:ascii="Times New Roman" w:eastAsia="仿宋_GB2312" w:hAnsi="Times New Roman" w:cs="Times New Roman"/>
                <w:sz w:val="24"/>
                <w:szCs w:val="24"/>
              </w:rPr>
              <w:t xml:space="preserve">] </w:t>
            </w:r>
            <w:r w:rsidRPr="00EE1516">
              <w:rPr>
                <w:rFonts w:ascii="Times New Roman" w:eastAsia="仿宋_GB2312" w:hAnsi="Times New Roman" w:cs="仿宋_GB2312" w:hint="eastAsia"/>
                <w:sz w:val="24"/>
                <w:szCs w:val="24"/>
              </w:rPr>
              <w:t>勒内</w:t>
            </w: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罗迪埃著，徐百康译：《比较法导论》（</w:t>
            </w:r>
            <w:r w:rsidRPr="00EE1516">
              <w:rPr>
                <w:rFonts w:ascii="Times New Roman" w:eastAsia="仿宋_GB2312" w:hAnsi="Times New Roman" w:cs="Times New Roman"/>
                <w:sz w:val="24"/>
                <w:szCs w:val="24"/>
              </w:rPr>
              <w:t>Rene Rodiere, Introduction Au Droit Compare</w:t>
            </w:r>
            <w:r w:rsidRPr="00EE1516">
              <w:rPr>
                <w:rFonts w:ascii="Times New Roman" w:eastAsia="仿宋_GB2312" w:hAnsi="Times New Roman" w:cs="仿宋_GB2312" w:hint="eastAsia"/>
                <w:sz w:val="24"/>
                <w:szCs w:val="24"/>
              </w:rPr>
              <w:t>），上海译文出版社</w:t>
            </w:r>
            <w:r w:rsidRPr="00EE1516">
              <w:rPr>
                <w:rFonts w:ascii="Times New Roman" w:eastAsia="仿宋_GB2312" w:hAnsi="Times New Roman" w:cs="Times New Roman"/>
                <w:sz w:val="24"/>
                <w:szCs w:val="24"/>
              </w:rPr>
              <w:t>1989</w:t>
            </w:r>
            <w:r w:rsidRPr="00EE1516">
              <w:rPr>
                <w:rFonts w:ascii="Times New Roman" w:eastAsia="仿宋_GB2312" w:hAnsi="Times New Roman" w:cs="仿宋_GB2312" w:hint="eastAsia"/>
                <w:sz w:val="24"/>
                <w:szCs w:val="24"/>
              </w:rPr>
              <w:t>版；</w:t>
            </w:r>
          </w:p>
          <w:p w:rsidR="009A3466" w:rsidRPr="00EE1516" w:rsidRDefault="009A3466" w:rsidP="00D60F38">
            <w:pPr>
              <w:numPr>
                <w:ilvl w:val="0"/>
                <w:numId w:val="1"/>
              </w:numPr>
              <w:tabs>
                <w:tab w:val="clear" w:pos="960"/>
                <w:tab w:val="num" w:pos="176"/>
              </w:tabs>
              <w:ind w:left="0" w:firstLine="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美</w:t>
            </w:r>
            <w:r w:rsidRPr="00EE1516">
              <w:rPr>
                <w:rFonts w:ascii="Times New Roman" w:eastAsia="仿宋_GB2312" w:hAnsi="Times New Roman" w:cs="Times New Roman"/>
                <w:sz w:val="24"/>
                <w:szCs w:val="24"/>
              </w:rPr>
              <w:t xml:space="preserve">] </w:t>
            </w:r>
            <w:r w:rsidRPr="00EE1516">
              <w:rPr>
                <w:rFonts w:ascii="Times New Roman" w:eastAsia="仿宋_GB2312" w:hAnsi="Times New Roman" w:cs="仿宋_GB2312" w:hint="eastAsia"/>
                <w:sz w:val="24"/>
                <w:szCs w:val="24"/>
              </w:rPr>
              <w:t>格伦顿、戈登、奥萨魁著，米健、贺卫方、高鸿钧译：《比较法律传统》（</w:t>
            </w:r>
            <w:r w:rsidRPr="00EE1516">
              <w:rPr>
                <w:rFonts w:ascii="Times New Roman" w:eastAsia="仿宋_GB2312" w:hAnsi="Times New Roman" w:cs="Times New Roman"/>
                <w:sz w:val="24"/>
                <w:szCs w:val="24"/>
              </w:rPr>
              <w:t>Glendon, Gordon, Osakwe, Comparative Legal Tradition</w:t>
            </w:r>
            <w:r w:rsidRPr="00EE1516">
              <w:rPr>
                <w:rFonts w:ascii="Times New Roman" w:eastAsia="仿宋_GB2312" w:hAnsi="Times New Roman" w:cs="仿宋_GB2312" w:hint="eastAsia"/>
                <w:sz w:val="24"/>
                <w:szCs w:val="24"/>
              </w:rPr>
              <w:t>），中国政法大学出版社</w:t>
            </w:r>
            <w:r w:rsidRPr="00EE1516">
              <w:rPr>
                <w:rFonts w:ascii="Times New Roman" w:eastAsia="仿宋_GB2312" w:hAnsi="Times New Roman" w:cs="Times New Roman"/>
                <w:sz w:val="24"/>
                <w:szCs w:val="24"/>
              </w:rPr>
              <w:t>1993</w:t>
            </w:r>
            <w:r w:rsidRPr="00EE1516">
              <w:rPr>
                <w:rFonts w:ascii="Times New Roman" w:eastAsia="仿宋_GB2312" w:hAnsi="Times New Roman" w:cs="仿宋_GB2312" w:hint="eastAsia"/>
                <w:sz w:val="24"/>
                <w:szCs w:val="24"/>
              </w:rPr>
              <w:t>年版；</w:t>
            </w:r>
          </w:p>
          <w:p w:rsidR="009A3466" w:rsidRPr="00EE1516" w:rsidRDefault="009A3466" w:rsidP="00D60F38">
            <w:pPr>
              <w:numPr>
                <w:ilvl w:val="0"/>
                <w:numId w:val="1"/>
              </w:numPr>
              <w:tabs>
                <w:tab w:val="clear" w:pos="960"/>
                <w:tab w:val="num" w:pos="176"/>
              </w:tabs>
              <w:ind w:left="0" w:firstLine="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奥</w:t>
            </w:r>
            <w:r w:rsidRPr="00EE1516">
              <w:rPr>
                <w:rFonts w:ascii="Times New Roman" w:eastAsia="仿宋_GB2312" w:hAnsi="Times New Roman" w:cs="Times New Roman"/>
                <w:sz w:val="24"/>
                <w:szCs w:val="24"/>
              </w:rPr>
              <w:t xml:space="preserve">] </w:t>
            </w:r>
            <w:r w:rsidRPr="00EE1516">
              <w:rPr>
                <w:rFonts w:ascii="Times New Roman" w:eastAsia="仿宋_GB2312" w:hAnsi="Times New Roman" w:cs="仿宋_GB2312" w:hint="eastAsia"/>
                <w:sz w:val="24"/>
                <w:szCs w:val="24"/>
              </w:rPr>
              <w:t>汉斯</w:t>
            </w: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凯尔森著，沈宗灵译：《法和国家的一般理论》（</w:t>
            </w:r>
            <w:r w:rsidRPr="00EE1516">
              <w:rPr>
                <w:rFonts w:ascii="Times New Roman" w:eastAsia="仿宋_GB2312" w:hAnsi="Times New Roman" w:cs="Times New Roman"/>
                <w:sz w:val="24"/>
                <w:szCs w:val="24"/>
              </w:rPr>
              <w:t>Hans Kelsen, General Theory of Law and State</w:t>
            </w:r>
            <w:r w:rsidRPr="00EE1516">
              <w:rPr>
                <w:rFonts w:ascii="Times New Roman" w:eastAsia="仿宋_GB2312" w:hAnsi="Times New Roman" w:cs="仿宋_GB2312" w:hint="eastAsia"/>
                <w:sz w:val="24"/>
                <w:szCs w:val="24"/>
              </w:rPr>
              <w:t>），中国大百科全书出版社</w:t>
            </w:r>
            <w:r w:rsidRPr="00EE1516">
              <w:rPr>
                <w:rFonts w:ascii="Times New Roman" w:eastAsia="仿宋_GB2312" w:hAnsi="Times New Roman" w:cs="Times New Roman"/>
                <w:sz w:val="24"/>
                <w:szCs w:val="24"/>
              </w:rPr>
              <w:t>1996</w:t>
            </w:r>
            <w:r w:rsidRPr="00EE1516">
              <w:rPr>
                <w:rFonts w:ascii="Times New Roman" w:eastAsia="仿宋_GB2312" w:hAnsi="Times New Roman" w:cs="仿宋_GB2312" w:hint="eastAsia"/>
                <w:sz w:val="24"/>
                <w:szCs w:val="24"/>
              </w:rPr>
              <w:t>年版；</w:t>
            </w:r>
          </w:p>
          <w:p w:rsidR="009A3466" w:rsidRPr="00EE1516" w:rsidRDefault="009A3466" w:rsidP="00D60F38">
            <w:pPr>
              <w:numPr>
                <w:ilvl w:val="0"/>
                <w:numId w:val="1"/>
              </w:numPr>
              <w:tabs>
                <w:tab w:val="clear" w:pos="960"/>
                <w:tab w:val="num" w:pos="176"/>
              </w:tabs>
              <w:ind w:left="0" w:firstLine="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德</w:t>
            </w:r>
            <w:r w:rsidRPr="00EE1516">
              <w:rPr>
                <w:rFonts w:ascii="Times New Roman" w:eastAsia="仿宋_GB2312" w:hAnsi="Times New Roman" w:cs="Times New Roman"/>
                <w:sz w:val="24"/>
                <w:szCs w:val="24"/>
              </w:rPr>
              <w:t xml:space="preserve">] </w:t>
            </w:r>
            <w:r w:rsidRPr="00EE1516">
              <w:rPr>
                <w:rFonts w:ascii="Times New Roman" w:eastAsia="仿宋_GB2312" w:hAnsi="Times New Roman" w:cs="仿宋_GB2312" w:hint="eastAsia"/>
                <w:sz w:val="24"/>
                <w:szCs w:val="24"/>
              </w:rPr>
              <w:t>拉德布鲁赫著，米健、朱林译：《法学导论》（</w:t>
            </w:r>
            <w:r w:rsidRPr="00EE1516">
              <w:rPr>
                <w:rFonts w:ascii="Times New Roman" w:eastAsia="仿宋_GB2312" w:hAnsi="Times New Roman" w:cs="Times New Roman"/>
                <w:sz w:val="24"/>
                <w:szCs w:val="24"/>
              </w:rPr>
              <w:t>Einführung in die Rechtswissenchaft</w:t>
            </w:r>
            <w:r w:rsidRPr="00EE1516">
              <w:rPr>
                <w:rFonts w:ascii="Times New Roman" w:eastAsia="仿宋_GB2312" w:hAnsi="Times New Roman" w:cs="仿宋_GB2312" w:hint="eastAsia"/>
                <w:sz w:val="24"/>
                <w:szCs w:val="24"/>
              </w:rPr>
              <w:t>），大百科全书出版社</w:t>
            </w:r>
            <w:r w:rsidRPr="00EE1516">
              <w:rPr>
                <w:rFonts w:ascii="Times New Roman" w:eastAsia="仿宋_GB2312" w:hAnsi="Times New Roman" w:cs="Times New Roman"/>
                <w:sz w:val="24"/>
                <w:szCs w:val="24"/>
              </w:rPr>
              <w:t>1997</w:t>
            </w:r>
            <w:r w:rsidRPr="00EE1516">
              <w:rPr>
                <w:rFonts w:ascii="Times New Roman" w:eastAsia="仿宋_GB2312" w:hAnsi="Times New Roman" w:cs="仿宋_GB2312" w:hint="eastAsia"/>
                <w:sz w:val="24"/>
                <w:szCs w:val="24"/>
              </w:rPr>
              <w:t>年版；</w:t>
            </w:r>
          </w:p>
          <w:p w:rsidR="009A3466" w:rsidRPr="00EE1516" w:rsidRDefault="009A3466" w:rsidP="00D60F38">
            <w:pPr>
              <w:numPr>
                <w:ilvl w:val="0"/>
                <w:numId w:val="1"/>
              </w:numPr>
              <w:tabs>
                <w:tab w:val="clear" w:pos="960"/>
                <w:tab w:val="num" w:pos="176"/>
              </w:tabs>
              <w:ind w:left="0" w:firstLine="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德</w:t>
            </w:r>
            <w:r w:rsidRPr="00EE1516">
              <w:rPr>
                <w:rFonts w:ascii="Times New Roman" w:eastAsia="仿宋_GB2312" w:hAnsi="Times New Roman" w:cs="Times New Roman"/>
                <w:sz w:val="24"/>
                <w:szCs w:val="24"/>
              </w:rPr>
              <w:t xml:space="preserve">] </w:t>
            </w:r>
            <w:r w:rsidRPr="00EE1516">
              <w:rPr>
                <w:rFonts w:ascii="Times New Roman" w:eastAsia="仿宋_GB2312" w:hAnsi="Times New Roman" w:cs="仿宋_GB2312" w:hint="eastAsia"/>
                <w:sz w:val="24"/>
                <w:szCs w:val="24"/>
              </w:rPr>
              <w:t>茨威格特</w:t>
            </w: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克茨著，潘汉典、米健、贺卫方、高鸿钧译：《比较法总论》（</w:t>
            </w:r>
            <w:r w:rsidRPr="00EE1516">
              <w:rPr>
                <w:rFonts w:ascii="Times New Roman" w:eastAsia="仿宋_GB2312" w:hAnsi="Times New Roman" w:cs="Times New Roman"/>
                <w:sz w:val="24"/>
                <w:szCs w:val="24"/>
              </w:rPr>
              <w:t>Einfuhrung in die Rechtsvergelichung</w:t>
            </w:r>
            <w:r w:rsidRPr="00EE1516">
              <w:rPr>
                <w:rFonts w:ascii="Times New Roman" w:eastAsia="仿宋_GB2312" w:hAnsi="Times New Roman" w:cs="仿宋_GB2312" w:hint="eastAsia"/>
                <w:sz w:val="24"/>
                <w:szCs w:val="24"/>
              </w:rPr>
              <w:t>），贵州人民出版社</w:t>
            </w:r>
            <w:r w:rsidRPr="00EE1516">
              <w:rPr>
                <w:rFonts w:ascii="Times New Roman" w:eastAsia="仿宋_GB2312" w:hAnsi="Times New Roman" w:cs="Times New Roman"/>
                <w:sz w:val="24"/>
                <w:szCs w:val="24"/>
              </w:rPr>
              <w:t>1992</w:t>
            </w:r>
            <w:r w:rsidRPr="00EE1516">
              <w:rPr>
                <w:rFonts w:ascii="Times New Roman" w:eastAsia="仿宋_GB2312" w:hAnsi="Times New Roman" w:cs="仿宋_GB2312" w:hint="eastAsia"/>
                <w:sz w:val="24"/>
                <w:szCs w:val="24"/>
              </w:rPr>
              <w:t>年版，法律出版社</w:t>
            </w:r>
            <w:r w:rsidRPr="00EE1516">
              <w:rPr>
                <w:rFonts w:ascii="Times New Roman" w:eastAsia="仿宋_GB2312" w:hAnsi="Times New Roman" w:cs="Times New Roman"/>
                <w:sz w:val="24"/>
                <w:szCs w:val="24"/>
              </w:rPr>
              <w:t>2003</w:t>
            </w:r>
            <w:r w:rsidRPr="00EE1516">
              <w:rPr>
                <w:rFonts w:ascii="Times New Roman" w:eastAsia="仿宋_GB2312" w:hAnsi="Times New Roman" w:cs="仿宋_GB2312" w:hint="eastAsia"/>
                <w:sz w:val="24"/>
                <w:szCs w:val="24"/>
              </w:rPr>
              <w:t>年版；</w:t>
            </w:r>
          </w:p>
          <w:p w:rsidR="009A3466" w:rsidRPr="00EE1516" w:rsidRDefault="009A3466" w:rsidP="00D60F38">
            <w:pPr>
              <w:numPr>
                <w:ilvl w:val="0"/>
                <w:numId w:val="1"/>
              </w:numPr>
              <w:tabs>
                <w:tab w:val="clear" w:pos="960"/>
                <w:tab w:val="num" w:pos="176"/>
              </w:tabs>
              <w:ind w:left="0" w:firstLine="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德</w:t>
            </w:r>
            <w:r w:rsidRPr="00EE1516">
              <w:rPr>
                <w:rFonts w:ascii="Times New Roman" w:eastAsia="仿宋_GB2312" w:hAnsi="Times New Roman" w:cs="Times New Roman"/>
                <w:sz w:val="24"/>
                <w:szCs w:val="24"/>
              </w:rPr>
              <w:t xml:space="preserve">] </w:t>
            </w:r>
            <w:r w:rsidRPr="00EE1516">
              <w:rPr>
                <w:rFonts w:ascii="Times New Roman" w:eastAsia="仿宋_GB2312" w:hAnsi="Times New Roman" w:cs="仿宋_GB2312" w:hint="eastAsia"/>
                <w:sz w:val="24"/>
                <w:szCs w:val="24"/>
              </w:rPr>
              <w:t>卡尔</w:t>
            </w: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拉伦茨著，陈爱娥译：《法学方法论》（</w:t>
            </w:r>
            <w:r w:rsidRPr="00EE1516">
              <w:rPr>
                <w:rFonts w:ascii="Times New Roman" w:eastAsia="仿宋_GB2312" w:hAnsi="Times New Roman" w:cs="Times New Roman"/>
                <w:sz w:val="24"/>
                <w:szCs w:val="24"/>
              </w:rPr>
              <w:t>Karl Larenz, Methodenlehre der Rechtswissenschaft</w:t>
            </w:r>
            <w:r w:rsidRPr="00EE1516">
              <w:rPr>
                <w:rFonts w:ascii="Times New Roman" w:eastAsia="仿宋_GB2312" w:hAnsi="Times New Roman" w:cs="仿宋_GB2312" w:hint="eastAsia"/>
                <w:sz w:val="24"/>
                <w:szCs w:val="24"/>
              </w:rPr>
              <w:t>），商务印书馆</w:t>
            </w:r>
            <w:r w:rsidRPr="00EE1516">
              <w:rPr>
                <w:rFonts w:ascii="Times New Roman" w:eastAsia="仿宋_GB2312" w:hAnsi="Times New Roman" w:cs="Times New Roman"/>
                <w:sz w:val="24"/>
                <w:szCs w:val="24"/>
              </w:rPr>
              <w:t>2003</w:t>
            </w:r>
            <w:r w:rsidRPr="00EE1516">
              <w:rPr>
                <w:rFonts w:ascii="Times New Roman" w:eastAsia="仿宋_GB2312" w:hAnsi="Times New Roman" w:cs="仿宋_GB2312" w:hint="eastAsia"/>
                <w:sz w:val="24"/>
                <w:szCs w:val="24"/>
              </w:rPr>
              <w:t>年版；</w:t>
            </w:r>
          </w:p>
          <w:p w:rsidR="009A3466" w:rsidRPr="00EE1516" w:rsidRDefault="009A3466" w:rsidP="00D60F38">
            <w:pPr>
              <w:numPr>
                <w:ilvl w:val="0"/>
                <w:numId w:val="1"/>
              </w:numPr>
              <w:tabs>
                <w:tab w:val="clear" w:pos="960"/>
                <w:tab w:val="num" w:pos="176"/>
              </w:tabs>
              <w:ind w:left="0" w:firstLine="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日</w:t>
            </w:r>
            <w:r w:rsidRPr="00EE1516">
              <w:rPr>
                <w:rFonts w:ascii="Times New Roman" w:eastAsia="仿宋_GB2312" w:hAnsi="Times New Roman" w:cs="Times New Roman"/>
                <w:sz w:val="24"/>
                <w:szCs w:val="24"/>
              </w:rPr>
              <w:t xml:space="preserve">] </w:t>
            </w:r>
            <w:r w:rsidRPr="00EE1516">
              <w:rPr>
                <w:rFonts w:ascii="Times New Roman" w:eastAsia="仿宋_GB2312" w:hAnsi="Times New Roman" w:cs="仿宋_GB2312" w:hint="eastAsia"/>
                <w:sz w:val="24"/>
                <w:szCs w:val="24"/>
              </w:rPr>
              <w:t>大木雅夫著，华夏、占宪斌译：《东西方法观念之比较》，北京大学出版社</w:t>
            </w:r>
            <w:r w:rsidRPr="00EE1516">
              <w:rPr>
                <w:rFonts w:ascii="Times New Roman" w:eastAsia="仿宋_GB2312" w:hAnsi="Times New Roman" w:cs="Times New Roman"/>
                <w:sz w:val="24"/>
                <w:szCs w:val="24"/>
              </w:rPr>
              <w:t>2004</w:t>
            </w:r>
            <w:r w:rsidRPr="00EE1516">
              <w:rPr>
                <w:rFonts w:ascii="Times New Roman" w:eastAsia="仿宋_GB2312" w:hAnsi="Times New Roman" w:cs="仿宋_GB2312" w:hint="eastAsia"/>
                <w:sz w:val="24"/>
                <w:szCs w:val="24"/>
              </w:rPr>
              <w:t>年版；</w:t>
            </w:r>
          </w:p>
          <w:p w:rsidR="009A3466" w:rsidRPr="00EE1516" w:rsidRDefault="009A3466" w:rsidP="00D60F38">
            <w:pPr>
              <w:numPr>
                <w:ilvl w:val="0"/>
                <w:numId w:val="1"/>
              </w:numPr>
              <w:tabs>
                <w:tab w:val="clear" w:pos="960"/>
                <w:tab w:val="num" w:pos="176"/>
              </w:tabs>
              <w:ind w:left="0" w:firstLine="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w:t>
            </w:r>
            <w:r w:rsidRPr="00EE1516">
              <w:rPr>
                <w:rFonts w:ascii="Times New Roman" w:eastAsia="仿宋_GB2312" w:hAnsi="Times New Roman" w:cs="仿宋_GB2312" w:hint="eastAsia"/>
                <w:sz w:val="24"/>
                <w:szCs w:val="24"/>
              </w:rPr>
              <w:t>日</w:t>
            </w:r>
            <w:r w:rsidRPr="00EE1516">
              <w:rPr>
                <w:rFonts w:ascii="Times New Roman" w:eastAsia="仿宋_GB2312" w:hAnsi="Times New Roman" w:cs="Times New Roman"/>
                <w:sz w:val="24"/>
                <w:szCs w:val="24"/>
              </w:rPr>
              <w:t xml:space="preserve">] </w:t>
            </w:r>
            <w:r w:rsidRPr="00EE1516">
              <w:rPr>
                <w:rFonts w:ascii="Times New Roman" w:eastAsia="仿宋_GB2312" w:hAnsi="Times New Roman" w:cs="仿宋_GB2312" w:hint="eastAsia"/>
                <w:sz w:val="24"/>
                <w:szCs w:val="24"/>
              </w:rPr>
              <w:t>大木雅夫著，范愉译：《比较法》，法律出版社</w:t>
            </w:r>
            <w:r w:rsidRPr="00EE1516">
              <w:rPr>
                <w:rFonts w:ascii="Times New Roman" w:eastAsia="仿宋_GB2312" w:hAnsi="Times New Roman" w:cs="Times New Roman"/>
                <w:sz w:val="24"/>
                <w:szCs w:val="24"/>
              </w:rPr>
              <w:t>2006</w:t>
            </w:r>
            <w:r w:rsidRPr="00EE1516">
              <w:rPr>
                <w:rFonts w:ascii="Times New Roman" w:eastAsia="仿宋_GB2312" w:hAnsi="Times New Roman" w:cs="仿宋_GB2312" w:hint="eastAsia"/>
                <w:sz w:val="24"/>
                <w:szCs w:val="24"/>
              </w:rPr>
              <w:t>年版；</w:t>
            </w:r>
          </w:p>
          <w:p w:rsidR="009A3466" w:rsidRPr="00EE1516" w:rsidRDefault="009A3466" w:rsidP="00D60F38">
            <w:pPr>
              <w:ind w:firstLineChars="200" w:firstLine="482"/>
              <w:rPr>
                <w:rFonts w:ascii="仿宋" w:eastAsia="仿宋" w:hAnsi="仿宋" w:cs="Times New Roman"/>
                <w:b/>
                <w:bCs/>
                <w:sz w:val="24"/>
                <w:szCs w:val="24"/>
              </w:rPr>
            </w:pPr>
            <w:r w:rsidRPr="00EE1516">
              <w:rPr>
                <w:rFonts w:ascii="仿宋" w:eastAsia="仿宋" w:hAnsi="仿宋" w:cs="仿宋" w:hint="eastAsia"/>
                <w:b/>
                <w:bCs/>
                <w:sz w:val="24"/>
                <w:szCs w:val="24"/>
              </w:rPr>
              <w:t>（二）外文书目</w:t>
            </w:r>
          </w:p>
          <w:p w:rsidR="009A3466" w:rsidRPr="00EE1516" w:rsidRDefault="009A3466" w:rsidP="00D60F38">
            <w:pPr>
              <w:numPr>
                <w:ilvl w:val="0"/>
                <w:numId w:val="2"/>
              </w:numPr>
              <w:tabs>
                <w:tab w:val="clear" w:pos="960"/>
                <w:tab w:val="num" w:pos="0"/>
              </w:tabs>
              <w:ind w:left="34" w:hanging="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 xml:space="preserve">Alan B. Morrison (ed.), </w:t>
            </w:r>
            <w:r w:rsidRPr="00EE1516">
              <w:rPr>
                <w:rFonts w:ascii="Times New Roman" w:eastAsia="仿宋_GB2312" w:hAnsi="Times New Roman" w:cs="Times New Roman"/>
                <w:i/>
                <w:iCs/>
                <w:sz w:val="24"/>
                <w:szCs w:val="24"/>
              </w:rPr>
              <w:t>Fundamentals of American Law</w:t>
            </w:r>
            <w:r w:rsidRPr="00EE1516">
              <w:rPr>
                <w:rFonts w:ascii="Times New Roman" w:eastAsia="仿宋_GB2312" w:hAnsi="Times New Roman" w:cs="Times New Roman"/>
                <w:sz w:val="24"/>
                <w:szCs w:val="24"/>
              </w:rPr>
              <w:t>, Oxford, UK and New York, NY: Oxford University Press, 1996</w:t>
            </w:r>
          </w:p>
          <w:p w:rsidR="009A3466" w:rsidRPr="00EE1516" w:rsidRDefault="009A3466" w:rsidP="00D60F38">
            <w:pPr>
              <w:numPr>
                <w:ilvl w:val="0"/>
                <w:numId w:val="2"/>
              </w:numPr>
              <w:tabs>
                <w:tab w:val="clear" w:pos="960"/>
                <w:tab w:val="num" w:pos="0"/>
              </w:tabs>
              <w:ind w:left="34" w:hanging="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 xml:space="preserve">Rudolf B. Schlesinger, Hans B. Baade, Peter E. Herzog and Edward M. Wise (eds.), </w:t>
            </w:r>
            <w:r w:rsidRPr="00EE1516">
              <w:rPr>
                <w:rFonts w:ascii="Times New Roman" w:eastAsia="仿宋_GB2312" w:hAnsi="Times New Roman" w:cs="Times New Roman"/>
                <w:i/>
                <w:iCs/>
                <w:sz w:val="24"/>
                <w:szCs w:val="24"/>
              </w:rPr>
              <w:t>Comparative Law: Cases, Text, Materials</w:t>
            </w:r>
            <w:r w:rsidRPr="00EE1516">
              <w:rPr>
                <w:rFonts w:ascii="Times New Roman" w:eastAsia="仿宋_GB2312" w:hAnsi="Times New Roman" w:cs="Times New Roman"/>
                <w:sz w:val="24"/>
                <w:szCs w:val="24"/>
              </w:rPr>
              <w:t>, 6th edition, New York, NY: Foundation Press, 1998</w:t>
            </w:r>
          </w:p>
          <w:p w:rsidR="009A3466" w:rsidRPr="00EE1516" w:rsidRDefault="009A3466" w:rsidP="00D60F38">
            <w:pPr>
              <w:numPr>
                <w:ilvl w:val="0"/>
                <w:numId w:val="2"/>
              </w:numPr>
              <w:tabs>
                <w:tab w:val="clear" w:pos="960"/>
                <w:tab w:val="num" w:pos="0"/>
              </w:tabs>
              <w:ind w:left="34" w:hanging="34"/>
              <w:rPr>
                <w:rFonts w:ascii="Times New Roman" w:eastAsia="仿宋_GB2312" w:hAnsi="Times New Roman" w:cs="Times New Roman"/>
                <w:sz w:val="24"/>
                <w:szCs w:val="24"/>
              </w:rPr>
            </w:pPr>
            <w:r w:rsidRPr="00EE1516">
              <w:rPr>
                <w:rFonts w:ascii="Times New Roman" w:eastAsia="仿宋_GB2312" w:hAnsi="Times New Roman" w:cs="Times New Roman"/>
                <w:sz w:val="24"/>
                <w:szCs w:val="24"/>
              </w:rPr>
              <w:t xml:space="preserve">Annelise Riles (ed.), </w:t>
            </w:r>
            <w:r w:rsidRPr="00EE1516">
              <w:rPr>
                <w:rFonts w:ascii="Times New Roman" w:eastAsia="仿宋_GB2312" w:hAnsi="Times New Roman" w:cs="Times New Roman"/>
                <w:i/>
                <w:iCs/>
                <w:sz w:val="24"/>
                <w:szCs w:val="24"/>
              </w:rPr>
              <w:t>Rethinking the Masters of Comparative Law</w:t>
            </w:r>
            <w:r w:rsidRPr="00EE1516">
              <w:rPr>
                <w:rFonts w:ascii="Times New Roman" w:eastAsia="仿宋_GB2312" w:hAnsi="Times New Roman" w:cs="Times New Roman"/>
                <w:sz w:val="24"/>
                <w:szCs w:val="24"/>
              </w:rPr>
              <w:t>, Oxford, UK and Portland, OR: Hart Publishing, 2001</w:t>
            </w:r>
          </w:p>
          <w:p w:rsidR="009A3466" w:rsidRPr="00EE1516" w:rsidRDefault="009A3466" w:rsidP="00D60F38">
            <w:pPr>
              <w:numPr>
                <w:ilvl w:val="0"/>
                <w:numId w:val="2"/>
              </w:numPr>
              <w:tabs>
                <w:tab w:val="clear" w:pos="960"/>
                <w:tab w:val="num" w:pos="0"/>
              </w:tabs>
              <w:ind w:left="34" w:hanging="34"/>
              <w:rPr>
                <w:rFonts w:ascii="Times New Roman" w:hAnsi="Times New Roman" w:cs="Times New Roman"/>
                <w:kern w:val="0"/>
                <w:sz w:val="24"/>
                <w:szCs w:val="24"/>
              </w:rPr>
            </w:pPr>
            <w:r w:rsidRPr="00EE1516">
              <w:rPr>
                <w:rFonts w:ascii="Times New Roman" w:eastAsia="仿宋_GB2312" w:hAnsi="Times New Roman" w:cs="Times New Roman"/>
                <w:sz w:val="24"/>
                <w:szCs w:val="24"/>
              </w:rPr>
              <w:t xml:space="preserve">Kermit L. Hall, Paul Finkelman and James W. Ely (eds.), </w:t>
            </w:r>
            <w:r w:rsidRPr="00EE1516">
              <w:rPr>
                <w:rFonts w:ascii="Times New Roman" w:eastAsia="仿宋_GB2312" w:hAnsi="Times New Roman" w:cs="Times New Roman"/>
                <w:i/>
                <w:iCs/>
                <w:sz w:val="24"/>
                <w:szCs w:val="24"/>
              </w:rPr>
              <w:t>American Legal History: Cases and Materials,</w:t>
            </w:r>
            <w:r w:rsidRPr="00EE1516">
              <w:rPr>
                <w:rFonts w:ascii="Times New Roman" w:eastAsia="仿宋_GB2312" w:hAnsi="Times New Roman" w:cs="Times New Roman"/>
                <w:sz w:val="24"/>
                <w:szCs w:val="24"/>
              </w:rPr>
              <w:t xml:space="preserve"> Oxford, UK and New York, NY: Oxford University Press, 2005</w:t>
            </w:r>
          </w:p>
          <w:p w:rsidR="009A3466" w:rsidRPr="00EE1516" w:rsidRDefault="009A3466" w:rsidP="00D60F38">
            <w:pPr>
              <w:numPr>
                <w:ilvl w:val="0"/>
                <w:numId w:val="2"/>
              </w:numPr>
              <w:tabs>
                <w:tab w:val="clear" w:pos="960"/>
                <w:tab w:val="num" w:pos="0"/>
              </w:tabs>
              <w:ind w:left="34" w:hanging="34"/>
              <w:rPr>
                <w:rFonts w:ascii="Times New Roman" w:hAnsi="Times New Roman" w:cs="Times New Roman"/>
                <w:kern w:val="0"/>
                <w:sz w:val="24"/>
                <w:szCs w:val="24"/>
              </w:rPr>
            </w:pPr>
            <w:r w:rsidRPr="00EE1516">
              <w:rPr>
                <w:rFonts w:ascii="Times New Roman" w:hAnsi="Times New Roman" w:cs="Times New Roman"/>
                <w:kern w:val="0"/>
                <w:sz w:val="24"/>
                <w:szCs w:val="24"/>
              </w:rPr>
              <w:t xml:space="preserve">Bruce A. Ackerman, </w:t>
            </w:r>
            <w:r w:rsidRPr="00EE1516">
              <w:rPr>
                <w:rFonts w:ascii="Times New Roman" w:hAnsi="Times New Roman" w:cs="Times New Roman"/>
                <w:i/>
                <w:iCs/>
                <w:kern w:val="0"/>
                <w:sz w:val="24"/>
                <w:szCs w:val="24"/>
              </w:rPr>
              <w:t>Reconstructing American law</w:t>
            </w:r>
            <w:r w:rsidRPr="00EE1516">
              <w:rPr>
                <w:rFonts w:ascii="Times New Roman" w:hAnsi="Times New Roman" w:cs="Times New Roman"/>
                <w:kern w:val="0"/>
                <w:sz w:val="24"/>
                <w:szCs w:val="24"/>
              </w:rPr>
              <w:t xml:space="preserve">, Harvard </w:t>
            </w:r>
            <w:r w:rsidRPr="00EE1516">
              <w:rPr>
                <w:rFonts w:ascii="Times New Roman" w:hAnsi="Times New Roman" w:cs="Times New Roman"/>
                <w:kern w:val="0"/>
                <w:sz w:val="24"/>
                <w:szCs w:val="24"/>
              </w:rPr>
              <w:lastRenderedPageBreak/>
              <w:t>University Press, 1984</w:t>
            </w:r>
          </w:p>
          <w:p w:rsidR="009A3466" w:rsidRPr="00EE1516" w:rsidRDefault="009A3466" w:rsidP="00D60F38">
            <w:pPr>
              <w:numPr>
                <w:ilvl w:val="0"/>
                <w:numId w:val="2"/>
              </w:numPr>
              <w:tabs>
                <w:tab w:val="clear" w:pos="960"/>
                <w:tab w:val="num" w:pos="0"/>
              </w:tabs>
              <w:ind w:left="34" w:hanging="34"/>
              <w:rPr>
                <w:rFonts w:ascii="Times New Roman" w:hAnsi="Times New Roman" w:cs="Times New Roman"/>
                <w:kern w:val="0"/>
                <w:sz w:val="24"/>
                <w:szCs w:val="24"/>
              </w:rPr>
            </w:pPr>
            <w:r w:rsidRPr="00EE1516">
              <w:rPr>
                <w:rFonts w:ascii="Times New Roman" w:hAnsi="Times New Roman" w:cs="Times New Roman"/>
                <w:kern w:val="0"/>
                <w:sz w:val="24"/>
                <w:szCs w:val="24"/>
              </w:rPr>
              <w:t xml:space="preserve">Oliver W. Holmes Jr., </w:t>
            </w:r>
            <w:r w:rsidRPr="00EE1516">
              <w:rPr>
                <w:rFonts w:ascii="Times New Roman" w:hAnsi="Times New Roman" w:cs="Times New Roman"/>
                <w:i/>
                <w:iCs/>
                <w:kern w:val="0"/>
                <w:sz w:val="24"/>
                <w:szCs w:val="24"/>
              </w:rPr>
              <w:t>The Common Law</w:t>
            </w:r>
            <w:r w:rsidRPr="00EE1516">
              <w:rPr>
                <w:rFonts w:ascii="Times New Roman" w:hAnsi="Times New Roman" w:cs="Times New Roman"/>
                <w:kern w:val="0"/>
                <w:sz w:val="24"/>
                <w:szCs w:val="24"/>
              </w:rPr>
              <w:t>, Dover Publications, 1991</w:t>
            </w:r>
          </w:p>
          <w:p w:rsidR="009A3466" w:rsidRPr="00EE1516" w:rsidRDefault="009A3466" w:rsidP="00D60F38">
            <w:pPr>
              <w:numPr>
                <w:ilvl w:val="0"/>
                <w:numId w:val="2"/>
              </w:numPr>
              <w:tabs>
                <w:tab w:val="clear" w:pos="960"/>
                <w:tab w:val="num" w:pos="0"/>
              </w:tabs>
              <w:ind w:left="34" w:hanging="34"/>
              <w:rPr>
                <w:rFonts w:ascii="Times New Roman" w:hAnsi="Times New Roman" w:cs="Times New Roman"/>
                <w:kern w:val="0"/>
                <w:sz w:val="24"/>
                <w:szCs w:val="24"/>
              </w:rPr>
            </w:pPr>
            <w:r w:rsidRPr="00EE1516">
              <w:rPr>
                <w:rFonts w:ascii="Times New Roman" w:hAnsi="Times New Roman" w:cs="Times New Roman"/>
                <w:kern w:val="0"/>
                <w:sz w:val="24"/>
                <w:szCs w:val="24"/>
              </w:rPr>
              <w:t xml:space="preserve">H. L. A. Hart, Penelope Bulloch, Joseph Raz, </w:t>
            </w:r>
            <w:r w:rsidRPr="00EE1516">
              <w:rPr>
                <w:rFonts w:ascii="Times New Roman" w:hAnsi="Times New Roman" w:cs="Times New Roman"/>
                <w:i/>
                <w:iCs/>
                <w:kern w:val="0"/>
                <w:sz w:val="24"/>
                <w:szCs w:val="24"/>
              </w:rPr>
              <w:t>The Concept of Law,</w:t>
            </w:r>
            <w:r w:rsidRPr="00EE1516">
              <w:rPr>
                <w:rFonts w:ascii="Times New Roman" w:hAnsi="Times New Roman" w:cs="Times New Roman"/>
                <w:kern w:val="0"/>
                <w:sz w:val="24"/>
                <w:szCs w:val="24"/>
              </w:rPr>
              <w:t xml:space="preserve"> Oxford University Press, 1997</w:t>
            </w:r>
          </w:p>
          <w:p w:rsidR="009A3466" w:rsidRPr="00EE1516" w:rsidRDefault="009A3466" w:rsidP="00D60F38">
            <w:pPr>
              <w:numPr>
                <w:ilvl w:val="0"/>
                <w:numId w:val="2"/>
              </w:numPr>
              <w:tabs>
                <w:tab w:val="clear" w:pos="960"/>
                <w:tab w:val="num" w:pos="0"/>
              </w:tabs>
              <w:ind w:left="34" w:hanging="34"/>
              <w:rPr>
                <w:rFonts w:ascii="Times New Roman" w:hAnsi="Times New Roman" w:cs="Times New Roman"/>
                <w:kern w:val="0"/>
                <w:sz w:val="24"/>
                <w:szCs w:val="24"/>
              </w:rPr>
            </w:pPr>
            <w:r w:rsidRPr="00EE1516">
              <w:rPr>
                <w:rFonts w:ascii="Times New Roman" w:hAnsi="Times New Roman" w:cs="Times New Roman"/>
                <w:kern w:val="0"/>
                <w:sz w:val="24"/>
                <w:szCs w:val="24"/>
              </w:rPr>
              <w:t xml:space="preserve">John Rawls, </w:t>
            </w:r>
            <w:r w:rsidRPr="00EE1516">
              <w:rPr>
                <w:rFonts w:ascii="Times New Roman" w:hAnsi="Times New Roman" w:cs="Times New Roman"/>
                <w:i/>
                <w:iCs/>
                <w:kern w:val="0"/>
                <w:sz w:val="24"/>
                <w:szCs w:val="24"/>
              </w:rPr>
              <w:t>A Theory of Justice</w:t>
            </w:r>
            <w:r w:rsidRPr="00EE1516">
              <w:rPr>
                <w:rFonts w:ascii="Times New Roman" w:hAnsi="Times New Roman" w:cs="Times New Roman"/>
                <w:kern w:val="0"/>
                <w:sz w:val="24"/>
                <w:szCs w:val="24"/>
              </w:rPr>
              <w:t>, Harvard University Press, 1999</w:t>
            </w:r>
          </w:p>
          <w:p w:rsidR="009A3466" w:rsidRPr="00EE1516" w:rsidRDefault="009A3466" w:rsidP="00D60F38">
            <w:pPr>
              <w:numPr>
                <w:ilvl w:val="0"/>
                <w:numId w:val="2"/>
              </w:numPr>
              <w:tabs>
                <w:tab w:val="clear" w:pos="960"/>
                <w:tab w:val="num" w:pos="0"/>
              </w:tabs>
              <w:ind w:left="34" w:hanging="34"/>
              <w:rPr>
                <w:rFonts w:ascii="Times New Roman" w:hAnsi="Times New Roman" w:cs="Times New Roman"/>
                <w:kern w:val="0"/>
                <w:sz w:val="24"/>
                <w:szCs w:val="24"/>
              </w:rPr>
            </w:pPr>
            <w:r w:rsidRPr="00EE1516">
              <w:rPr>
                <w:rFonts w:ascii="Times New Roman" w:hAnsi="Times New Roman" w:cs="Times New Roman"/>
                <w:kern w:val="0"/>
                <w:sz w:val="24"/>
                <w:szCs w:val="24"/>
              </w:rPr>
              <w:t xml:space="preserve">Lawrence M. Friedman, </w:t>
            </w:r>
            <w:r w:rsidRPr="00EE1516">
              <w:rPr>
                <w:rFonts w:ascii="Times New Roman" w:hAnsi="Times New Roman" w:cs="Times New Roman"/>
                <w:i/>
                <w:iCs/>
                <w:kern w:val="0"/>
                <w:sz w:val="24"/>
                <w:szCs w:val="24"/>
              </w:rPr>
              <w:t>A History of American Law</w:t>
            </w:r>
            <w:r w:rsidRPr="00EE1516">
              <w:rPr>
                <w:rFonts w:ascii="Times New Roman" w:hAnsi="Times New Roman" w:cs="Times New Roman"/>
                <w:kern w:val="0"/>
                <w:sz w:val="24"/>
                <w:szCs w:val="24"/>
              </w:rPr>
              <w:t>, Touchstone, 2005</w:t>
            </w:r>
          </w:p>
          <w:p w:rsidR="009A3466" w:rsidRPr="00EE1516" w:rsidRDefault="009A3466" w:rsidP="00D60F38">
            <w:pPr>
              <w:numPr>
                <w:ilvl w:val="0"/>
                <w:numId w:val="2"/>
              </w:numPr>
              <w:tabs>
                <w:tab w:val="clear" w:pos="960"/>
                <w:tab w:val="num" w:pos="0"/>
              </w:tabs>
              <w:ind w:left="34" w:hanging="34"/>
              <w:rPr>
                <w:rFonts w:ascii="Times New Roman" w:hAnsi="Times New Roman" w:cs="Times New Roman"/>
                <w:kern w:val="0"/>
                <w:sz w:val="24"/>
                <w:szCs w:val="24"/>
              </w:rPr>
            </w:pPr>
            <w:r w:rsidRPr="00EE1516">
              <w:rPr>
                <w:rFonts w:ascii="Times New Roman" w:hAnsi="Times New Roman" w:cs="Times New Roman"/>
                <w:kern w:val="0"/>
                <w:sz w:val="24"/>
                <w:szCs w:val="24"/>
              </w:rPr>
              <w:t xml:space="preserve">Mathias Reimann, Reinhard Zimmermann (eds.), </w:t>
            </w:r>
            <w:r w:rsidRPr="00EE1516">
              <w:rPr>
                <w:rFonts w:ascii="Times New Roman" w:hAnsi="Times New Roman" w:cs="Times New Roman"/>
                <w:i/>
                <w:iCs/>
                <w:kern w:val="0"/>
                <w:sz w:val="24"/>
                <w:szCs w:val="24"/>
              </w:rPr>
              <w:t>The Oxford Handbook of Comparative Law</w:t>
            </w:r>
            <w:r w:rsidRPr="00EE1516">
              <w:rPr>
                <w:rFonts w:ascii="Times New Roman" w:hAnsi="Times New Roman" w:cs="Times New Roman"/>
                <w:kern w:val="0"/>
                <w:sz w:val="24"/>
                <w:szCs w:val="24"/>
              </w:rPr>
              <w:t>, Oxford University Press, 2008</w:t>
            </w:r>
          </w:p>
          <w:p w:rsidR="009A3466" w:rsidRPr="00EE1516" w:rsidRDefault="009A3466" w:rsidP="00D60F38">
            <w:pPr>
              <w:numPr>
                <w:ilvl w:val="0"/>
                <w:numId w:val="2"/>
              </w:numPr>
              <w:tabs>
                <w:tab w:val="clear" w:pos="960"/>
                <w:tab w:val="num" w:pos="0"/>
              </w:tabs>
              <w:ind w:left="34" w:hanging="34"/>
              <w:rPr>
                <w:rFonts w:ascii="Times New Roman" w:hAnsi="Times New Roman" w:cs="Times New Roman"/>
                <w:kern w:val="0"/>
                <w:sz w:val="24"/>
                <w:szCs w:val="24"/>
              </w:rPr>
            </w:pPr>
            <w:r w:rsidRPr="00EE1516">
              <w:rPr>
                <w:rFonts w:ascii="Times New Roman" w:hAnsi="Times New Roman" w:cs="Times New Roman"/>
                <w:kern w:val="0"/>
                <w:sz w:val="24"/>
                <w:szCs w:val="24"/>
              </w:rPr>
              <w:t xml:space="preserve">Theodore F.T. Plucknett, </w:t>
            </w:r>
            <w:r w:rsidRPr="00EE1516">
              <w:rPr>
                <w:rFonts w:ascii="Times New Roman" w:hAnsi="Times New Roman" w:cs="Times New Roman"/>
                <w:i/>
                <w:iCs/>
                <w:kern w:val="0"/>
                <w:sz w:val="24"/>
                <w:szCs w:val="24"/>
              </w:rPr>
              <w:t>A Concise History of the Common Law,</w:t>
            </w:r>
            <w:r w:rsidRPr="00EE1516">
              <w:rPr>
                <w:rFonts w:ascii="Times New Roman" w:hAnsi="Times New Roman" w:cs="Times New Roman"/>
                <w:kern w:val="0"/>
                <w:sz w:val="24"/>
                <w:szCs w:val="24"/>
              </w:rPr>
              <w:t xml:space="preserve"> The Lawbook Exchange, 2010</w:t>
            </w:r>
          </w:p>
          <w:p w:rsidR="009A3466" w:rsidRPr="00EE1516" w:rsidRDefault="009A3466" w:rsidP="00D60F38">
            <w:pPr>
              <w:numPr>
                <w:ilvl w:val="0"/>
                <w:numId w:val="2"/>
              </w:numPr>
              <w:tabs>
                <w:tab w:val="clear" w:pos="960"/>
                <w:tab w:val="num" w:pos="0"/>
              </w:tabs>
              <w:ind w:left="34" w:hanging="34"/>
              <w:rPr>
                <w:rFonts w:cs="Times New Roman"/>
                <w:kern w:val="0"/>
                <w:szCs w:val="22"/>
              </w:rPr>
            </w:pPr>
            <w:r w:rsidRPr="00EE1516">
              <w:rPr>
                <w:rFonts w:ascii="Times New Roman" w:hAnsi="Times New Roman" w:cs="Times New Roman"/>
                <w:kern w:val="0"/>
                <w:sz w:val="24"/>
                <w:szCs w:val="24"/>
              </w:rPr>
              <w:t xml:space="preserve">Ronald Dworkin, </w:t>
            </w:r>
            <w:r w:rsidRPr="00EE1516">
              <w:rPr>
                <w:rFonts w:ascii="Times New Roman" w:hAnsi="Times New Roman" w:cs="Times New Roman"/>
                <w:i/>
                <w:iCs/>
                <w:kern w:val="0"/>
                <w:sz w:val="24"/>
                <w:szCs w:val="24"/>
              </w:rPr>
              <w:t>Justice for Hedgehogs</w:t>
            </w:r>
            <w:r w:rsidRPr="00EE1516">
              <w:rPr>
                <w:rFonts w:ascii="Times New Roman" w:hAnsi="Times New Roman" w:cs="Times New Roman"/>
                <w:kern w:val="0"/>
                <w:sz w:val="24"/>
                <w:szCs w:val="24"/>
              </w:rPr>
              <w:t>, Harvard University Press, 2011</w:t>
            </w:r>
          </w:p>
          <w:p w:rsidR="009A3466" w:rsidRPr="00EE1516" w:rsidRDefault="009A3466" w:rsidP="00D60F38">
            <w:pPr>
              <w:numPr>
                <w:ilvl w:val="0"/>
                <w:numId w:val="2"/>
              </w:numPr>
              <w:tabs>
                <w:tab w:val="clear" w:pos="960"/>
                <w:tab w:val="num" w:pos="0"/>
              </w:tabs>
              <w:ind w:left="34" w:hanging="34"/>
              <w:rPr>
                <w:rFonts w:cs="Times New Roman"/>
                <w:kern w:val="0"/>
              </w:rPr>
            </w:pPr>
            <w:r w:rsidRPr="00EE1516">
              <w:rPr>
                <w:rFonts w:ascii="Times New Roman" w:hAnsi="Times New Roman" w:cs="Times New Roman"/>
                <w:kern w:val="0"/>
                <w:sz w:val="24"/>
                <w:szCs w:val="24"/>
              </w:rPr>
              <w:t xml:space="preserve">Scott J. Shapiro, </w:t>
            </w:r>
            <w:r w:rsidRPr="00EE1516">
              <w:rPr>
                <w:rFonts w:ascii="Times New Roman" w:hAnsi="Times New Roman" w:cs="Times New Roman"/>
                <w:i/>
                <w:iCs/>
                <w:kern w:val="0"/>
                <w:sz w:val="24"/>
                <w:szCs w:val="24"/>
              </w:rPr>
              <w:t>Legality</w:t>
            </w:r>
            <w:r w:rsidRPr="00EE1516">
              <w:rPr>
                <w:rFonts w:ascii="Times New Roman" w:hAnsi="Times New Roman" w:cs="Times New Roman"/>
                <w:kern w:val="0"/>
                <w:sz w:val="24"/>
                <w:szCs w:val="24"/>
              </w:rPr>
              <w:t>, Harvard University Press, 2011</w:t>
            </w:r>
          </w:p>
          <w:p w:rsidR="009A3466" w:rsidRPr="00EE1516" w:rsidRDefault="009A3466" w:rsidP="00D60F38">
            <w:pPr>
              <w:ind w:left="34"/>
              <w:rPr>
                <w:rFonts w:ascii="Times New Roman" w:eastAsia="仿宋_GB2312" w:hAnsi="Times New Roman" w:cs="Times New Roman"/>
              </w:rPr>
            </w:pPr>
          </w:p>
        </w:tc>
      </w:tr>
    </w:tbl>
    <w:p w:rsidR="009A3466" w:rsidRPr="00EE1516" w:rsidRDefault="009A3466" w:rsidP="009A3466">
      <w:pPr>
        <w:adjustRightInd w:val="0"/>
        <w:snapToGrid w:val="0"/>
        <w:spacing w:line="480" w:lineRule="auto"/>
        <w:ind w:right="840" w:firstLineChars="1150" w:firstLine="3220"/>
        <w:jc w:val="right"/>
        <w:rPr>
          <w:rFonts w:ascii="Times New Roman" w:eastAsia="仿宋_GB2312" w:hAnsi="Times New Roman" w:cs="Times New Roman"/>
          <w:sz w:val="28"/>
          <w:szCs w:val="28"/>
        </w:rPr>
      </w:pPr>
    </w:p>
    <w:p w:rsidR="009A3466" w:rsidRPr="00EE1516" w:rsidRDefault="009A3466" w:rsidP="009A3466">
      <w:pPr>
        <w:adjustRightInd w:val="0"/>
        <w:snapToGrid w:val="0"/>
        <w:spacing w:line="480" w:lineRule="auto"/>
        <w:ind w:right="840" w:firstLineChars="1150" w:firstLine="3220"/>
        <w:jc w:val="right"/>
        <w:rPr>
          <w:rFonts w:ascii="Times New Roman" w:eastAsia="仿宋_GB2312" w:hAnsi="Times New Roman" w:cs="Times New Roman"/>
          <w:sz w:val="28"/>
          <w:szCs w:val="28"/>
          <w:u w:val="single"/>
        </w:rPr>
      </w:pPr>
      <w:r w:rsidRPr="00EE1516">
        <w:rPr>
          <w:rFonts w:ascii="Times New Roman" w:eastAsia="仿宋_GB2312" w:hAnsi="Times New Roman" w:cs="仿宋_GB2312" w:hint="eastAsia"/>
          <w:sz w:val="28"/>
          <w:szCs w:val="28"/>
        </w:rPr>
        <w:t>学位评定分委员会主任签字：</w:t>
      </w:r>
    </w:p>
    <w:p w:rsidR="009A3466" w:rsidRPr="00EE1516" w:rsidRDefault="009A3466" w:rsidP="009A3466">
      <w:pPr>
        <w:wordWrap w:val="0"/>
        <w:jc w:val="right"/>
        <w:rPr>
          <w:rFonts w:cs="Times New Roman"/>
        </w:rPr>
      </w:pPr>
      <w:r w:rsidRPr="00EE1516">
        <w:rPr>
          <w:rFonts w:ascii="Times New Roman" w:eastAsia="仿宋_GB2312" w:hAnsi="Times New Roman" w:cs="仿宋_GB2312" w:hint="eastAsia"/>
          <w:sz w:val="28"/>
          <w:szCs w:val="28"/>
        </w:rPr>
        <w:t>年</w:t>
      </w:r>
      <w:r w:rsidRPr="00EE1516">
        <w:rPr>
          <w:rFonts w:ascii="Times New Roman" w:eastAsia="仿宋_GB2312" w:hAnsi="Times New Roman" w:cs="仿宋_GB2312" w:hint="eastAsia"/>
          <w:sz w:val="28"/>
          <w:szCs w:val="28"/>
        </w:rPr>
        <w:t xml:space="preserve">    </w:t>
      </w:r>
      <w:r w:rsidRPr="00EE1516">
        <w:rPr>
          <w:rFonts w:ascii="Times New Roman" w:eastAsia="仿宋_GB2312" w:hAnsi="Times New Roman" w:cs="仿宋_GB2312" w:hint="eastAsia"/>
          <w:sz w:val="28"/>
          <w:szCs w:val="28"/>
        </w:rPr>
        <w:t>月</w:t>
      </w:r>
      <w:r w:rsidRPr="00EE1516">
        <w:rPr>
          <w:rFonts w:ascii="Times New Roman" w:eastAsia="仿宋_GB2312" w:hAnsi="Times New Roman" w:cs="仿宋_GB2312" w:hint="eastAsia"/>
          <w:sz w:val="28"/>
          <w:szCs w:val="28"/>
        </w:rPr>
        <w:t xml:space="preserve">    </w:t>
      </w:r>
      <w:r w:rsidRPr="00EE1516">
        <w:rPr>
          <w:rFonts w:ascii="Times New Roman" w:eastAsia="仿宋_GB2312" w:hAnsi="Times New Roman" w:cs="仿宋_GB2312" w:hint="eastAsia"/>
          <w:sz w:val="28"/>
          <w:szCs w:val="28"/>
        </w:rPr>
        <w:t>日</w:t>
      </w:r>
    </w:p>
    <w:p w:rsidR="00EE1516" w:rsidRPr="00EE1516" w:rsidRDefault="00EE1516">
      <w:pPr>
        <w:sectPr w:rsidR="00EE1516" w:rsidRPr="00EE1516" w:rsidSect="00D65173">
          <w:pgSz w:w="11906" w:h="16838"/>
          <w:pgMar w:top="1440" w:right="1800" w:bottom="1440" w:left="1800" w:header="851" w:footer="992" w:gutter="0"/>
          <w:cols w:space="425"/>
          <w:docGrid w:type="lines" w:linePitch="312"/>
        </w:sectPr>
      </w:pPr>
    </w:p>
    <w:p w:rsidR="00EE1516" w:rsidRPr="00EE1516" w:rsidRDefault="00EE1516" w:rsidP="00EE1516">
      <w:pPr>
        <w:jc w:val="center"/>
        <w:rPr>
          <w:rFonts w:ascii="Times New Roman" w:eastAsia="黑体" w:hAnsi="Times New Roman"/>
          <w:sz w:val="24"/>
        </w:rPr>
      </w:pPr>
      <w:r w:rsidRPr="00EE1516">
        <w:rPr>
          <w:rFonts w:ascii="Times New Roman" w:eastAsia="黑体" w:hAnsi="Times New Roman" w:hint="eastAsia"/>
          <w:sz w:val="24"/>
        </w:rPr>
        <w:lastRenderedPageBreak/>
        <w:t>比较法学专业攻读博士学位研究生</w:t>
      </w:r>
    </w:p>
    <w:p w:rsidR="00EE1516" w:rsidRPr="00EE1516" w:rsidRDefault="00EE1516" w:rsidP="00EE1516">
      <w:pPr>
        <w:jc w:val="center"/>
        <w:rPr>
          <w:rFonts w:ascii="Times New Roman" w:eastAsia="黑体" w:hAnsi="Times New Roman"/>
          <w:sz w:val="24"/>
        </w:rPr>
      </w:pPr>
      <w:r w:rsidRPr="00EE1516">
        <w:rPr>
          <w:rFonts w:ascii="Times New Roman" w:eastAsia="黑体" w:hAnsi="Times New Roman" w:hint="eastAsia"/>
          <w:sz w:val="24"/>
        </w:rPr>
        <w:t>课程设置、教学计划及学分要求一览表</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248"/>
        <w:gridCol w:w="1134"/>
        <w:gridCol w:w="1842"/>
        <w:gridCol w:w="709"/>
        <w:gridCol w:w="709"/>
        <w:gridCol w:w="850"/>
        <w:gridCol w:w="851"/>
        <w:gridCol w:w="850"/>
        <w:gridCol w:w="1940"/>
      </w:tblGrid>
      <w:tr w:rsidR="00EE1516" w:rsidRPr="00EE1516" w:rsidTr="00093B9E">
        <w:trPr>
          <w:trHeight w:val="924"/>
          <w:jc w:val="center"/>
        </w:trPr>
        <w:tc>
          <w:tcPr>
            <w:tcW w:w="1603" w:type="dxa"/>
            <w:gridSpan w:val="2"/>
            <w:vAlign w:val="center"/>
          </w:tcPr>
          <w:p w:rsidR="00EE1516" w:rsidRPr="00EE1516" w:rsidRDefault="00EE1516" w:rsidP="00093B9E">
            <w:pPr>
              <w:jc w:val="center"/>
              <w:rPr>
                <w:rFonts w:ascii="仿宋_GB2312" w:eastAsia="仿宋_GB2312" w:hAnsi="仿宋"/>
                <w:b/>
                <w:sz w:val="24"/>
                <w:szCs w:val="24"/>
              </w:rPr>
            </w:pPr>
            <w:r w:rsidRPr="00EE1516">
              <w:rPr>
                <w:rFonts w:ascii="仿宋_GB2312" w:eastAsia="仿宋_GB2312" w:hAnsi="仿宋" w:hint="eastAsia"/>
                <w:b/>
                <w:sz w:val="24"/>
                <w:szCs w:val="24"/>
              </w:rPr>
              <w:t>类 别</w:t>
            </w:r>
          </w:p>
        </w:tc>
        <w:tc>
          <w:tcPr>
            <w:tcW w:w="3248" w:type="dxa"/>
            <w:vAlign w:val="center"/>
          </w:tcPr>
          <w:p w:rsidR="00EE1516" w:rsidRPr="00EE1516" w:rsidRDefault="00EE1516" w:rsidP="00093B9E">
            <w:pPr>
              <w:ind w:left="-57" w:right="-57"/>
              <w:jc w:val="center"/>
              <w:rPr>
                <w:rFonts w:ascii="仿宋_GB2312" w:eastAsia="仿宋_GB2312" w:hAnsi="仿宋"/>
                <w:b/>
                <w:sz w:val="24"/>
                <w:szCs w:val="24"/>
              </w:rPr>
            </w:pPr>
            <w:r w:rsidRPr="00EE1516">
              <w:rPr>
                <w:rFonts w:ascii="仿宋_GB2312" w:eastAsia="仿宋_GB2312" w:hAnsi="仿宋" w:hint="eastAsia"/>
                <w:b/>
                <w:sz w:val="24"/>
                <w:szCs w:val="24"/>
              </w:rPr>
              <w:t>课程名称</w:t>
            </w:r>
          </w:p>
        </w:tc>
        <w:tc>
          <w:tcPr>
            <w:tcW w:w="1134" w:type="dxa"/>
            <w:vAlign w:val="center"/>
          </w:tcPr>
          <w:p w:rsidR="00EE1516" w:rsidRPr="00EE1516" w:rsidRDefault="00EE1516" w:rsidP="00093B9E">
            <w:pPr>
              <w:jc w:val="center"/>
              <w:rPr>
                <w:rFonts w:ascii="仿宋_GB2312" w:eastAsia="仿宋_GB2312" w:hAnsi="仿宋"/>
                <w:b/>
                <w:sz w:val="24"/>
                <w:szCs w:val="24"/>
              </w:rPr>
            </w:pPr>
            <w:r w:rsidRPr="00EE1516">
              <w:rPr>
                <w:rFonts w:ascii="仿宋_GB2312" w:eastAsia="仿宋_GB2312" w:hAnsi="仿宋" w:hint="eastAsia"/>
                <w:b/>
                <w:sz w:val="24"/>
                <w:szCs w:val="24"/>
              </w:rPr>
              <w:t>课程</w:t>
            </w:r>
          </w:p>
          <w:p w:rsidR="00EE1516" w:rsidRPr="00EE1516" w:rsidRDefault="00EE1516" w:rsidP="00093B9E">
            <w:pPr>
              <w:jc w:val="center"/>
              <w:rPr>
                <w:rFonts w:ascii="仿宋_GB2312" w:eastAsia="仿宋_GB2312" w:hAnsi="仿宋"/>
                <w:b/>
                <w:sz w:val="24"/>
                <w:szCs w:val="24"/>
              </w:rPr>
            </w:pPr>
            <w:r w:rsidRPr="00EE1516">
              <w:rPr>
                <w:rFonts w:ascii="仿宋_GB2312" w:eastAsia="仿宋_GB2312" w:hAnsi="仿宋" w:hint="eastAsia"/>
                <w:b/>
                <w:sz w:val="24"/>
                <w:szCs w:val="24"/>
              </w:rPr>
              <w:t>门数</w:t>
            </w:r>
          </w:p>
        </w:tc>
        <w:tc>
          <w:tcPr>
            <w:tcW w:w="1842" w:type="dxa"/>
            <w:vAlign w:val="center"/>
          </w:tcPr>
          <w:p w:rsidR="00EE1516" w:rsidRPr="00EE1516" w:rsidRDefault="00EE1516" w:rsidP="00093B9E">
            <w:pPr>
              <w:ind w:left="-57" w:right="-57"/>
              <w:jc w:val="center"/>
              <w:rPr>
                <w:rFonts w:ascii="仿宋_GB2312" w:eastAsia="仿宋_GB2312" w:hAnsi="仿宋"/>
                <w:b/>
                <w:sz w:val="24"/>
                <w:szCs w:val="24"/>
              </w:rPr>
            </w:pPr>
            <w:r w:rsidRPr="00EE1516">
              <w:rPr>
                <w:rFonts w:ascii="仿宋_GB2312" w:eastAsia="仿宋_GB2312" w:hAnsi="仿宋" w:hint="eastAsia"/>
                <w:b/>
                <w:sz w:val="24"/>
                <w:szCs w:val="24"/>
              </w:rPr>
              <w:t>课程代码</w:t>
            </w:r>
          </w:p>
        </w:tc>
        <w:tc>
          <w:tcPr>
            <w:tcW w:w="709" w:type="dxa"/>
            <w:vAlign w:val="center"/>
          </w:tcPr>
          <w:p w:rsidR="00EE1516" w:rsidRPr="00EE1516" w:rsidRDefault="00EE1516" w:rsidP="00093B9E">
            <w:pPr>
              <w:ind w:left="-57" w:right="-57"/>
              <w:jc w:val="center"/>
              <w:rPr>
                <w:rFonts w:ascii="仿宋_GB2312" w:eastAsia="仿宋_GB2312" w:hAnsi="仿宋"/>
                <w:b/>
                <w:sz w:val="24"/>
                <w:szCs w:val="24"/>
              </w:rPr>
            </w:pPr>
            <w:r w:rsidRPr="00EE1516">
              <w:rPr>
                <w:rFonts w:ascii="仿宋_GB2312" w:eastAsia="仿宋_GB2312" w:hAnsi="仿宋" w:hint="eastAsia"/>
                <w:b/>
                <w:sz w:val="24"/>
                <w:szCs w:val="24"/>
              </w:rPr>
              <w:t>学分</w:t>
            </w:r>
          </w:p>
        </w:tc>
        <w:tc>
          <w:tcPr>
            <w:tcW w:w="709" w:type="dxa"/>
            <w:vAlign w:val="center"/>
          </w:tcPr>
          <w:p w:rsidR="00EE1516" w:rsidRPr="00EE1516" w:rsidRDefault="00EE1516" w:rsidP="00093B9E">
            <w:pPr>
              <w:ind w:left="-57" w:right="-57"/>
              <w:jc w:val="center"/>
              <w:rPr>
                <w:rFonts w:ascii="仿宋_GB2312" w:eastAsia="仿宋_GB2312" w:hAnsi="仿宋"/>
                <w:b/>
                <w:sz w:val="24"/>
                <w:szCs w:val="24"/>
              </w:rPr>
            </w:pPr>
            <w:r w:rsidRPr="00EE1516">
              <w:rPr>
                <w:rFonts w:ascii="仿宋_GB2312" w:eastAsia="仿宋_GB2312" w:hAnsi="仿宋" w:hint="eastAsia"/>
                <w:b/>
                <w:sz w:val="24"/>
                <w:szCs w:val="24"/>
              </w:rPr>
              <w:t>学时</w:t>
            </w:r>
          </w:p>
        </w:tc>
        <w:tc>
          <w:tcPr>
            <w:tcW w:w="850" w:type="dxa"/>
            <w:vAlign w:val="center"/>
          </w:tcPr>
          <w:p w:rsidR="00EE1516" w:rsidRPr="00EE1516" w:rsidRDefault="00EE1516" w:rsidP="00093B9E">
            <w:pPr>
              <w:ind w:left="-57" w:right="-57"/>
              <w:jc w:val="center"/>
              <w:rPr>
                <w:rFonts w:ascii="仿宋_GB2312" w:eastAsia="仿宋_GB2312" w:hAnsi="仿宋"/>
                <w:b/>
                <w:sz w:val="24"/>
                <w:szCs w:val="24"/>
              </w:rPr>
            </w:pPr>
            <w:r w:rsidRPr="00EE1516">
              <w:rPr>
                <w:rFonts w:ascii="仿宋_GB2312" w:eastAsia="仿宋_GB2312" w:hAnsi="仿宋" w:hint="eastAsia"/>
                <w:b/>
                <w:sz w:val="24"/>
                <w:szCs w:val="24"/>
              </w:rPr>
              <w:t>开课</w:t>
            </w:r>
          </w:p>
          <w:p w:rsidR="00EE1516" w:rsidRPr="00EE1516" w:rsidRDefault="00EE1516" w:rsidP="00093B9E">
            <w:pPr>
              <w:ind w:left="-57" w:right="-57"/>
              <w:jc w:val="center"/>
              <w:rPr>
                <w:rFonts w:ascii="仿宋_GB2312" w:eastAsia="仿宋_GB2312" w:hAnsi="仿宋"/>
                <w:b/>
                <w:sz w:val="24"/>
                <w:szCs w:val="24"/>
              </w:rPr>
            </w:pPr>
            <w:r w:rsidRPr="00EE1516">
              <w:rPr>
                <w:rFonts w:ascii="仿宋_GB2312" w:eastAsia="仿宋_GB2312" w:hAnsi="仿宋" w:hint="eastAsia"/>
                <w:b/>
                <w:sz w:val="24"/>
                <w:szCs w:val="24"/>
              </w:rPr>
              <w:t>学期</w:t>
            </w:r>
          </w:p>
        </w:tc>
        <w:tc>
          <w:tcPr>
            <w:tcW w:w="851" w:type="dxa"/>
            <w:vAlign w:val="center"/>
          </w:tcPr>
          <w:p w:rsidR="00EE1516" w:rsidRPr="00EE1516" w:rsidRDefault="00EE1516" w:rsidP="00093B9E">
            <w:pPr>
              <w:ind w:left="-57" w:right="-57"/>
              <w:jc w:val="center"/>
              <w:rPr>
                <w:rFonts w:ascii="仿宋_GB2312" w:eastAsia="仿宋_GB2312" w:hAnsi="仿宋"/>
                <w:b/>
                <w:sz w:val="24"/>
                <w:szCs w:val="24"/>
              </w:rPr>
            </w:pPr>
            <w:r w:rsidRPr="00EE1516">
              <w:rPr>
                <w:rFonts w:ascii="仿宋_GB2312" w:eastAsia="仿宋_GB2312" w:hAnsi="仿宋" w:hint="eastAsia"/>
                <w:b/>
                <w:sz w:val="24"/>
                <w:szCs w:val="24"/>
              </w:rPr>
              <w:t>教学</w:t>
            </w:r>
          </w:p>
          <w:p w:rsidR="00EE1516" w:rsidRPr="00EE1516" w:rsidRDefault="00EE1516" w:rsidP="00093B9E">
            <w:pPr>
              <w:ind w:left="-57" w:right="-57"/>
              <w:jc w:val="center"/>
              <w:rPr>
                <w:rFonts w:ascii="仿宋_GB2312" w:eastAsia="仿宋_GB2312" w:hAnsi="仿宋"/>
                <w:b/>
                <w:sz w:val="24"/>
                <w:szCs w:val="24"/>
              </w:rPr>
            </w:pPr>
            <w:r w:rsidRPr="00EE1516">
              <w:rPr>
                <w:rFonts w:ascii="仿宋_GB2312" w:eastAsia="仿宋_GB2312" w:hAnsi="仿宋" w:hint="eastAsia"/>
                <w:b/>
                <w:sz w:val="24"/>
                <w:szCs w:val="24"/>
              </w:rPr>
              <w:t>方式</w:t>
            </w:r>
          </w:p>
        </w:tc>
        <w:tc>
          <w:tcPr>
            <w:tcW w:w="850" w:type="dxa"/>
            <w:vAlign w:val="center"/>
          </w:tcPr>
          <w:p w:rsidR="00EE1516" w:rsidRPr="00EE1516" w:rsidRDefault="00EE1516" w:rsidP="00093B9E">
            <w:pPr>
              <w:ind w:left="-57" w:right="-57"/>
              <w:jc w:val="center"/>
              <w:rPr>
                <w:rFonts w:ascii="仿宋_GB2312" w:eastAsia="仿宋_GB2312" w:hAnsi="仿宋"/>
                <w:b/>
                <w:sz w:val="24"/>
                <w:szCs w:val="24"/>
              </w:rPr>
            </w:pPr>
            <w:r w:rsidRPr="00EE1516">
              <w:rPr>
                <w:rFonts w:ascii="仿宋_GB2312" w:eastAsia="仿宋_GB2312" w:hAnsi="仿宋" w:hint="eastAsia"/>
                <w:b/>
                <w:sz w:val="24"/>
                <w:szCs w:val="24"/>
              </w:rPr>
              <w:t>考核</w:t>
            </w:r>
          </w:p>
          <w:p w:rsidR="00EE1516" w:rsidRPr="00EE1516" w:rsidRDefault="00EE1516" w:rsidP="00093B9E">
            <w:pPr>
              <w:ind w:left="-57" w:right="-57"/>
              <w:jc w:val="center"/>
              <w:rPr>
                <w:rFonts w:ascii="仿宋_GB2312" w:eastAsia="仿宋_GB2312" w:hAnsi="仿宋"/>
                <w:b/>
                <w:sz w:val="24"/>
                <w:szCs w:val="24"/>
              </w:rPr>
            </w:pPr>
            <w:r w:rsidRPr="00EE1516">
              <w:rPr>
                <w:rFonts w:ascii="仿宋_GB2312" w:eastAsia="仿宋_GB2312" w:hAnsi="仿宋" w:hint="eastAsia"/>
                <w:b/>
                <w:sz w:val="24"/>
                <w:szCs w:val="24"/>
              </w:rPr>
              <w:t>方式</w:t>
            </w:r>
          </w:p>
        </w:tc>
        <w:tc>
          <w:tcPr>
            <w:tcW w:w="1940" w:type="dxa"/>
            <w:vAlign w:val="center"/>
          </w:tcPr>
          <w:p w:rsidR="00EE1516" w:rsidRPr="00EE1516" w:rsidRDefault="00EE1516" w:rsidP="00093B9E">
            <w:pPr>
              <w:jc w:val="center"/>
              <w:rPr>
                <w:rFonts w:ascii="仿宋_GB2312" w:eastAsia="仿宋_GB2312" w:hAnsi="仿宋"/>
                <w:b/>
                <w:sz w:val="24"/>
                <w:szCs w:val="24"/>
              </w:rPr>
            </w:pPr>
            <w:r w:rsidRPr="00EE1516">
              <w:rPr>
                <w:rFonts w:ascii="仿宋_GB2312" w:eastAsia="仿宋_GB2312" w:hAnsi="仿宋" w:hint="eastAsia"/>
                <w:b/>
                <w:sz w:val="24"/>
                <w:szCs w:val="24"/>
              </w:rPr>
              <w:t>备  注</w:t>
            </w:r>
          </w:p>
        </w:tc>
      </w:tr>
      <w:tr w:rsidR="00EE1516" w:rsidRPr="00EE1516" w:rsidTr="00093B9E">
        <w:trPr>
          <w:cantSplit/>
          <w:trHeight w:val="506"/>
          <w:jc w:val="center"/>
        </w:trPr>
        <w:tc>
          <w:tcPr>
            <w:tcW w:w="741" w:type="dxa"/>
            <w:vMerge w:val="restart"/>
            <w:textDirection w:val="tbRlV"/>
            <w:vAlign w:val="center"/>
          </w:tcPr>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必修课程</w:t>
            </w:r>
          </w:p>
        </w:tc>
        <w:tc>
          <w:tcPr>
            <w:tcW w:w="862" w:type="dxa"/>
            <w:vMerge w:val="restart"/>
            <w:vAlign w:val="center"/>
          </w:tcPr>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学</w:t>
            </w:r>
          </w:p>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位</w:t>
            </w:r>
          </w:p>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公</w:t>
            </w:r>
          </w:p>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共</w:t>
            </w:r>
          </w:p>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课</w:t>
            </w:r>
          </w:p>
        </w:tc>
        <w:tc>
          <w:tcPr>
            <w:tcW w:w="3248" w:type="dxa"/>
            <w:vAlign w:val="center"/>
          </w:tcPr>
          <w:p w:rsidR="00EE1516" w:rsidRPr="00EE1516" w:rsidRDefault="00EE1516" w:rsidP="00093B9E">
            <w:pPr>
              <w:ind w:left="-57" w:right="-57"/>
              <w:jc w:val="left"/>
              <w:rPr>
                <w:rFonts w:ascii="仿宋_GB2312" w:eastAsia="仿宋_GB2312" w:hAnsi="仿宋"/>
                <w:sz w:val="24"/>
                <w:szCs w:val="24"/>
              </w:rPr>
            </w:pPr>
            <w:r w:rsidRPr="00EE1516">
              <w:rPr>
                <w:rFonts w:ascii="仿宋_GB2312" w:eastAsia="仿宋_GB2312" w:hAnsi="仿宋" w:hint="eastAsia"/>
                <w:sz w:val="24"/>
                <w:szCs w:val="24"/>
              </w:rPr>
              <w:t>第一外国语</w:t>
            </w:r>
          </w:p>
        </w:tc>
        <w:tc>
          <w:tcPr>
            <w:tcW w:w="1134" w:type="dxa"/>
            <w:vAlign w:val="center"/>
          </w:tcPr>
          <w:p w:rsidR="00EE1516" w:rsidRPr="00EE1516" w:rsidRDefault="00EE1516" w:rsidP="00093B9E">
            <w:pPr>
              <w:snapToGrid w:val="0"/>
              <w:jc w:val="center"/>
              <w:rPr>
                <w:rFonts w:ascii="仿宋_GB2312" w:eastAsia="仿宋_GB2312" w:hAnsi="仿宋"/>
                <w:spacing w:val="-8"/>
                <w:sz w:val="24"/>
                <w:szCs w:val="24"/>
              </w:rPr>
            </w:pPr>
            <w:r w:rsidRPr="00EE1516">
              <w:rPr>
                <w:rFonts w:ascii="仿宋_GB2312" w:eastAsia="仿宋_GB2312" w:hAnsi="仿宋" w:hint="eastAsia"/>
                <w:spacing w:val="-8"/>
                <w:sz w:val="24"/>
                <w:szCs w:val="24"/>
              </w:rPr>
              <w:t>1</w:t>
            </w:r>
          </w:p>
        </w:tc>
        <w:tc>
          <w:tcPr>
            <w:tcW w:w="1842" w:type="dxa"/>
            <w:vAlign w:val="center"/>
          </w:tcPr>
          <w:p w:rsidR="00EE1516" w:rsidRPr="00EE1516" w:rsidRDefault="00EE1516" w:rsidP="00093B9E">
            <w:pPr>
              <w:ind w:left="-57" w:right="-57"/>
              <w:jc w:val="center"/>
              <w:rPr>
                <w:rFonts w:ascii="仿宋_GB2312" w:eastAsia="仿宋_GB2312" w:hAnsi="仿宋"/>
                <w:sz w:val="24"/>
                <w:szCs w:val="24"/>
              </w:rPr>
            </w:pPr>
          </w:p>
        </w:tc>
        <w:tc>
          <w:tcPr>
            <w:tcW w:w="709" w:type="dxa"/>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4</w:t>
            </w:r>
          </w:p>
        </w:tc>
        <w:tc>
          <w:tcPr>
            <w:tcW w:w="709" w:type="dxa"/>
            <w:vAlign w:val="center"/>
          </w:tcPr>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72</w:t>
            </w:r>
          </w:p>
        </w:tc>
        <w:tc>
          <w:tcPr>
            <w:tcW w:w="850" w:type="dxa"/>
            <w:vAlign w:val="center"/>
          </w:tcPr>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1</w:t>
            </w:r>
          </w:p>
        </w:tc>
        <w:tc>
          <w:tcPr>
            <w:tcW w:w="851" w:type="dxa"/>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讲授</w:t>
            </w:r>
          </w:p>
        </w:tc>
        <w:tc>
          <w:tcPr>
            <w:tcW w:w="850" w:type="dxa"/>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考试</w:t>
            </w:r>
          </w:p>
        </w:tc>
        <w:tc>
          <w:tcPr>
            <w:tcW w:w="1940" w:type="dxa"/>
            <w:vAlign w:val="center"/>
          </w:tcPr>
          <w:p w:rsidR="00EE1516" w:rsidRPr="00EE1516" w:rsidRDefault="00EE1516" w:rsidP="00093B9E">
            <w:pPr>
              <w:jc w:val="left"/>
              <w:rPr>
                <w:rFonts w:ascii="仿宋_GB2312" w:eastAsia="仿宋_GB2312" w:hAnsi="仿宋"/>
                <w:sz w:val="24"/>
                <w:szCs w:val="24"/>
              </w:rPr>
            </w:pPr>
          </w:p>
        </w:tc>
      </w:tr>
      <w:tr w:rsidR="00EE1516" w:rsidRPr="00EE1516" w:rsidTr="00093B9E">
        <w:trPr>
          <w:cantSplit/>
          <w:trHeight w:val="155"/>
          <w:jc w:val="center"/>
        </w:trPr>
        <w:tc>
          <w:tcPr>
            <w:tcW w:w="741" w:type="dxa"/>
            <w:vMerge/>
            <w:textDirection w:val="tbRlV"/>
            <w:vAlign w:val="center"/>
          </w:tcPr>
          <w:p w:rsidR="00EE1516" w:rsidRPr="00EE1516" w:rsidRDefault="00EE1516" w:rsidP="00093B9E">
            <w:pPr>
              <w:jc w:val="center"/>
              <w:rPr>
                <w:rFonts w:ascii="仿宋_GB2312" w:eastAsia="仿宋_GB2312" w:hAnsi="仿宋"/>
                <w:sz w:val="24"/>
                <w:szCs w:val="24"/>
              </w:rPr>
            </w:pPr>
          </w:p>
        </w:tc>
        <w:tc>
          <w:tcPr>
            <w:tcW w:w="862" w:type="dxa"/>
            <w:vMerge/>
            <w:vAlign w:val="center"/>
          </w:tcPr>
          <w:p w:rsidR="00EE1516" w:rsidRPr="00EE1516" w:rsidRDefault="00EE1516" w:rsidP="00093B9E">
            <w:pPr>
              <w:jc w:val="center"/>
              <w:rPr>
                <w:rFonts w:ascii="仿宋_GB2312" w:eastAsia="仿宋_GB2312" w:hAnsi="仿宋"/>
                <w:sz w:val="24"/>
                <w:szCs w:val="24"/>
              </w:rPr>
            </w:pPr>
          </w:p>
        </w:tc>
        <w:tc>
          <w:tcPr>
            <w:tcW w:w="3248" w:type="dxa"/>
            <w:vAlign w:val="center"/>
          </w:tcPr>
          <w:p w:rsidR="00EE1516" w:rsidRPr="00EE1516" w:rsidRDefault="00EE1516" w:rsidP="00093B9E">
            <w:pPr>
              <w:ind w:left="-57" w:right="-57"/>
              <w:jc w:val="left"/>
              <w:rPr>
                <w:rFonts w:ascii="仿宋_GB2312" w:eastAsia="仿宋_GB2312" w:hAnsi="仿宋"/>
                <w:sz w:val="24"/>
                <w:szCs w:val="24"/>
              </w:rPr>
            </w:pPr>
            <w:r w:rsidRPr="00EE1516">
              <w:rPr>
                <w:rFonts w:ascii="仿宋_GB2312" w:eastAsia="仿宋_GB2312" w:hAnsi="仿宋" w:hint="eastAsia"/>
                <w:spacing w:val="-8"/>
                <w:sz w:val="24"/>
                <w:szCs w:val="24"/>
              </w:rPr>
              <w:t>中国马克思主义与当代</w:t>
            </w:r>
          </w:p>
        </w:tc>
        <w:tc>
          <w:tcPr>
            <w:tcW w:w="1134" w:type="dxa"/>
            <w:tcBorders>
              <w:bottom w:val="single" w:sz="4" w:space="0" w:color="auto"/>
            </w:tcBorders>
            <w:vAlign w:val="center"/>
          </w:tcPr>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1</w:t>
            </w:r>
          </w:p>
        </w:tc>
        <w:tc>
          <w:tcPr>
            <w:tcW w:w="1842" w:type="dxa"/>
            <w:tcBorders>
              <w:bottom w:val="single" w:sz="4" w:space="0" w:color="auto"/>
            </w:tcBorders>
            <w:vAlign w:val="center"/>
          </w:tcPr>
          <w:p w:rsidR="00EE1516" w:rsidRPr="00EE1516" w:rsidRDefault="00EE1516" w:rsidP="00093B9E">
            <w:pPr>
              <w:ind w:left="-57" w:right="-57"/>
              <w:jc w:val="center"/>
              <w:rPr>
                <w:rFonts w:ascii="仿宋_GB2312" w:eastAsia="仿宋_GB2312" w:hAnsi="仿宋"/>
                <w:sz w:val="24"/>
                <w:szCs w:val="24"/>
              </w:rPr>
            </w:pPr>
          </w:p>
        </w:tc>
        <w:tc>
          <w:tcPr>
            <w:tcW w:w="709" w:type="dxa"/>
            <w:tcBorders>
              <w:bottom w:val="single" w:sz="4" w:space="0" w:color="auto"/>
            </w:tcBorders>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2</w:t>
            </w:r>
          </w:p>
        </w:tc>
        <w:tc>
          <w:tcPr>
            <w:tcW w:w="709" w:type="dxa"/>
            <w:tcBorders>
              <w:bottom w:val="single" w:sz="4" w:space="0" w:color="auto"/>
            </w:tcBorders>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54</w:t>
            </w:r>
          </w:p>
        </w:tc>
        <w:tc>
          <w:tcPr>
            <w:tcW w:w="850" w:type="dxa"/>
            <w:tcBorders>
              <w:bottom w:val="single" w:sz="4" w:space="0" w:color="auto"/>
            </w:tcBorders>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2</w:t>
            </w:r>
          </w:p>
        </w:tc>
        <w:tc>
          <w:tcPr>
            <w:tcW w:w="851" w:type="dxa"/>
            <w:tcBorders>
              <w:bottom w:val="single" w:sz="4" w:space="0" w:color="auto"/>
            </w:tcBorders>
            <w:vAlign w:val="center"/>
          </w:tcPr>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讲授</w:t>
            </w:r>
          </w:p>
        </w:tc>
        <w:tc>
          <w:tcPr>
            <w:tcW w:w="850" w:type="dxa"/>
            <w:tcBorders>
              <w:bottom w:val="single" w:sz="4" w:space="0" w:color="auto"/>
            </w:tcBorders>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考试论文</w:t>
            </w:r>
          </w:p>
        </w:tc>
        <w:tc>
          <w:tcPr>
            <w:tcW w:w="1940" w:type="dxa"/>
            <w:tcBorders>
              <w:bottom w:val="single" w:sz="4" w:space="0" w:color="auto"/>
            </w:tcBorders>
            <w:vAlign w:val="center"/>
          </w:tcPr>
          <w:p w:rsidR="00EE1516" w:rsidRPr="00EE1516" w:rsidRDefault="00EE1516" w:rsidP="00093B9E">
            <w:pPr>
              <w:jc w:val="left"/>
              <w:rPr>
                <w:rFonts w:ascii="仿宋_GB2312" w:eastAsia="仿宋_GB2312" w:hAnsi="仿宋"/>
                <w:sz w:val="24"/>
                <w:szCs w:val="24"/>
              </w:rPr>
            </w:pPr>
          </w:p>
        </w:tc>
      </w:tr>
      <w:tr w:rsidR="00EE1516" w:rsidRPr="00EE1516" w:rsidTr="00093B9E">
        <w:trPr>
          <w:cantSplit/>
          <w:trHeight w:val="155"/>
          <w:jc w:val="center"/>
        </w:trPr>
        <w:tc>
          <w:tcPr>
            <w:tcW w:w="741" w:type="dxa"/>
            <w:vMerge/>
            <w:textDirection w:val="tbRlV"/>
            <w:vAlign w:val="center"/>
          </w:tcPr>
          <w:p w:rsidR="00EE1516" w:rsidRPr="00EE1516" w:rsidRDefault="00EE1516" w:rsidP="00093B9E">
            <w:pPr>
              <w:jc w:val="center"/>
              <w:rPr>
                <w:rFonts w:ascii="仿宋_GB2312" w:eastAsia="仿宋_GB2312" w:hAnsi="仿宋"/>
                <w:sz w:val="24"/>
                <w:szCs w:val="24"/>
              </w:rPr>
            </w:pPr>
          </w:p>
        </w:tc>
        <w:tc>
          <w:tcPr>
            <w:tcW w:w="862" w:type="dxa"/>
            <w:vMerge/>
            <w:vAlign w:val="center"/>
          </w:tcPr>
          <w:p w:rsidR="00EE1516" w:rsidRPr="00EE1516" w:rsidRDefault="00EE1516" w:rsidP="00093B9E">
            <w:pPr>
              <w:jc w:val="center"/>
              <w:rPr>
                <w:rFonts w:ascii="仿宋_GB2312" w:eastAsia="仿宋_GB2312" w:hAnsi="仿宋"/>
                <w:sz w:val="24"/>
                <w:szCs w:val="24"/>
              </w:rPr>
            </w:pPr>
          </w:p>
        </w:tc>
        <w:tc>
          <w:tcPr>
            <w:tcW w:w="3248" w:type="dxa"/>
            <w:vAlign w:val="center"/>
          </w:tcPr>
          <w:p w:rsidR="00EE1516" w:rsidRPr="00EE1516" w:rsidRDefault="00EE1516" w:rsidP="00093B9E">
            <w:pPr>
              <w:ind w:left="-57" w:right="-57"/>
              <w:jc w:val="left"/>
              <w:rPr>
                <w:rFonts w:ascii="仿宋_GB2312" w:eastAsia="仿宋_GB2312" w:hAnsi="仿宋"/>
                <w:spacing w:val="-8"/>
                <w:sz w:val="24"/>
                <w:szCs w:val="24"/>
              </w:rPr>
            </w:pPr>
            <w:r w:rsidRPr="00EE1516">
              <w:rPr>
                <w:rFonts w:ascii="仿宋_GB2312" w:eastAsia="仿宋_GB2312" w:hAnsi="仿宋" w:hint="eastAsia"/>
                <w:spacing w:val="-8"/>
                <w:sz w:val="24"/>
                <w:szCs w:val="24"/>
              </w:rPr>
              <w:t>比较法学研究方法与论文写作</w:t>
            </w:r>
          </w:p>
        </w:tc>
        <w:tc>
          <w:tcPr>
            <w:tcW w:w="1134" w:type="dxa"/>
            <w:tcBorders>
              <w:bottom w:val="single" w:sz="4" w:space="0" w:color="auto"/>
            </w:tcBorders>
            <w:vAlign w:val="center"/>
          </w:tcPr>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1</w:t>
            </w:r>
          </w:p>
        </w:tc>
        <w:tc>
          <w:tcPr>
            <w:tcW w:w="1842" w:type="dxa"/>
            <w:tcBorders>
              <w:bottom w:val="single" w:sz="4" w:space="0" w:color="auto"/>
            </w:tcBorders>
            <w:vAlign w:val="center"/>
          </w:tcPr>
          <w:p w:rsidR="00EE1516" w:rsidRPr="00EE1516" w:rsidRDefault="00EE1516" w:rsidP="00093B9E">
            <w:pPr>
              <w:ind w:left="-57" w:right="-57"/>
              <w:jc w:val="center"/>
              <w:rPr>
                <w:rFonts w:ascii="仿宋_GB2312" w:eastAsia="仿宋_GB2312" w:hAnsi="仿宋"/>
                <w:sz w:val="24"/>
                <w:szCs w:val="24"/>
              </w:rPr>
            </w:pPr>
          </w:p>
        </w:tc>
        <w:tc>
          <w:tcPr>
            <w:tcW w:w="709" w:type="dxa"/>
            <w:tcBorders>
              <w:bottom w:val="single" w:sz="4" w:space="0" w:color="auto"/>
            </w:tcBorders>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1</w:t>
            </w:r>
          </w:p>
        </w:tc>
        <w:tc>
          <w:tcPr>
            <w:tcW w:w="709" w:type="dxa"/>
            <w:tcBorders>
              <w:bottom w:val="single" w:sz="4" w:space="0" w:color="auto"/>
            </w:tcBorders>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18</w:t>
            </w:r>
          </w:p>
        </w:tc>
        <w:tc>
          <w:tcPr>
            <w:tcW w:w="850" w:type="dxa"/>
            <w:tcBorders>
              <w:bottom w:val="single" w:sz="4" w:space="0" w:color="auto"/>
            </w:tcBorders>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1</w:t>
            </w:r>
          </w:p>
        </w:tc>
        <w:tc>
          <w:tcPr>
            <w:tcW w:w="851" w:type="dxa"/>
            <w:tcBorders>
              <w:bottom w:val="single" w:sz="4" w:space="0" w:color="auto"/>
            </w:tcBorders>
            <w:vAlign w:val="center"/>
          </w:tcPr>
          <w:p w:rsidR="00EE1516" w:rsidRPr="00EE1516" w:rsidRDefault="00EE1516" w:rsidP="00093B9E">
            <w:pPr>
              <w:jc w:val="center"/>
              <w:rPr>
                <w:rFonts w:ascii="仿宋_GB2312" w:eastAsia="仿宋_GB2312" w:hAnsi="仿宋"/>
                <w:sz w:val="24"/>
                <w:szCs w:val="24"/>
              </w:rPr>
            </w:pPr>
            <w:r w:rsidRPr="00EE1516">
              <w:rPr>
                <w:rFonts w:ascii="仿宋_GB2312" w:eastAsia="仿宋_GB2312" w:hAnsi="仿宋" w:hint="eastAsia"/>
                <w:sz w:val="24"/>
                <w:szCs w:val="24"/>
              </w:rPr>
              <w:t>系列讲座</w:t>
            </w:r>
          </w:p>
        </w:tc>
        <w:tc>
          <w:tcPr>
            <w:tcW w:w="850" w:type="dxa"/>
            <w:tcBorders>
              <w:bottom w:val="single" w:sz="4" w:space="0" w:color="auto"/>
            </w:tcBorders>
          </w:tcPr>
          <w:p w:rsidR="00EE1516" w:rsidRPr="00EE1516" w:rsidRDefault="00EE1516" w:rsidP="00093B9E">
            <w:r w:rsidRPr="00EE1516">
              <w:rPr>
                <w:rFonts w:ascii="仿宋_GB2312" w:eastAsia="仿宋_GB2312" w:hAnsi="仿宋" w:hint="eastAsia"/>
                <w:sz w:val="24"/>
                <w:szCs w:val="24"/>
              </w:rPr>
              <w:t>考试论文</w:t>
            </w:r>
          </w:p>
        </w:tc>
        <w:tc>
          <w:tcPr>
            <w:tcW w:w="1940" w:type="dxa"/>
            <w:tcBorders>
              <w:bottom w:val="single" w:sz="4" w:space="0" w:color="auto"/>
            </w:tcBorders>
            <w:vAlign w:val="center"/>
          </w:tcPr>
          <w:p w:rsidR="00EE1516" w:rsidRPr="00EE1516" w:rsidRDefault="00EE1516" w:rsidP="00093B9E">
            <w:pPr>
              <w:jc w:val="left"/>
              <w:rPr>
                <w:rFonts w:ascii="仿宋_GB2312" w:eastAsia="仿宋_GB2312" w:hAnsi="仿宋"/>
                <w:sz w:val="24"/>
                <w:szCs w:val="24"/>
              </w:rPr>
            </w:pPr>
          </w:p>
        </w:tc>
      </w:tr>
      <w:tr w:rsidR="00EE1516" w:rsidRPr="00EE1516" w:rsidTr="00093B9E">
        <w:trPr>
          <w:cantSplit/>
          <w:trHeight w:val="947"/>
          <w:jc w:val="center"/>
        </w:trPr>
        <w:tc>
          <w:tcPr>
            <w:tcW w:w="741" w:type="dxa"/>
            <w:vMerge/>
            <w:vAlign w:val="center"/>
          </w:tcPr>
          <w:p w:rsidR="00EE1516" w:rsidRPr="00EE1516" w:rsidRDefault="00EE1516" w:rsidP="00093B9E">
            <w:pPr>
              <w:jc w:val="center"/>
              <w:rPr>
                <w:rFonts w:ascii="仿宋_GB2312" w:eastAsia="仿宋_GB2312" w:hAnsi="仿宋"/>
                <w:sz w:val="24"/>
                <w:szCs w:val="24"/>
              </w:rPr>
            </w:pPr>
          </w:p>
        </w:tc>
        <w:tc>
          <w:tcPr>
            <w:tcW w:w="862" w:type="dxa"/>
            <w:vAlign w:val="center"/>
          </w:tcPr>
          <w:p w:rsidR="00EE1516" w:rsidRPr="00EE1516" w:rsidRDefault="00EE1516" w:rsidP="00093B9E">
            <w:pPr>
              <w:spacing w:line="400" w:lineRule="exact"/>
              <w:jc w:val="center"/>
              <w:rPr>
                <w:rFonts w:ascii="仿宋_GB2312" w:eastAsia="仿宋_GB2312" w:hAnsi="仿宋"/>
                <w:sz w:val="24"/>
                <w:szCs w:val="24"/>
              </w:rPr>
            </w:pPr>
            <w:r w:rsidRPr="00EE1516">
              <w:rPr>
                <w:rFonts w:ascii="仿宋_GB2312" w:eastAsia="仿宋_GB2312" w:hAnsi="仿宋" w:hint="eastAsia"/>
                <w:sz w:val="24"/>
                <w:szCs w:val="24"/>
              </w:rPr>
              <w:t>学位基础课</w:t>
            </w:r>
          </w:p>
        </w:tc>
        <w:tc>
          <w:tcPr>
            <w:tcW w:w="3248" w:type="dxa"/>
            <w:vAlign w:val="center"/>
          </w:tcPr>
          <w:p w:rsidR="00EE1516" w:rsidRPr="00EE1516" w:rsidRDefault="00EE1516" w:rsidP="00093B9E">
            <w:pPr>
              <w:spacing w:line="400" w:lineRule="exact"/>
              <w:ind w:left="-57" w:right="-57"/>
              <w:jc w:val="left"/>
              <w:rPr>
                <w:rFonts w:ascii="仿宋_GB2312" w:eastAsia="仿宋_GB2312" w:hAnsi="仿宋"/>
                <w:sz w:val="24"/>
                <w:szCs w:val="24"/>
              </w:rPr>
            </w:pPr>
            <w:r w:rsidRPr="00EE1516">
              <w:rPr>
                <w:rFonts w:ascii="仿宋_GB2312" w:eastAsia="仿宋_GB2312" w:hint="eastAsia"/>
                <w:sz w:val="24"/>
                <w:szCs w:val="24"/>
              </w:rPr>
              <w:t>比较法学专业前沿集体指导课</w:t>
            </w:r>
          </w:p>
        </w:tc>
        <w:tc>
          <w:tcPr>
            <w:tcW w:w="1134" w:type="dxa"/>
            <w:vAlign w:val="center"/>
          </w:tcPr>
          <w:p w:rsidR="00EE1516" w:rsidRPr="00EE1516" w:rsidRDefault="00EE1516" w:rsidP="00093B9E">
            <w:pPr>
              <w:spacing w:line="400" w:lineRule="exact"/>
              <w:jc w:val="center"/>
              <w:rPr>
                <w:rFonts w:ascii="仿宋_GB2312" w:eastAsia="仿宋_GB2312" w:hAnsi="仿宋"/>
                <w:sz w:val="24"/>
                <w:szCs w:val="24"/>
              </w:rPr>
            </w:pPr>
            <w:r w:rsidRPr="00EE1516">
              <w:rPr>
                <w:rFonts w:ascii="仿宋_GB2312" w:eastAsia="仿宋_GB2312" w:hAnsi="仿宋" w:hint="eastAsia"/>
                <w:sz w:val="24"/>
                <w:szCs w:val="24"/>
              </w:rPr>
              <w:t>1</w:t>
            </w:r>
          </w:p>
        </w:tc>
        <w:tc>
          <w:tcPr>
            <w:tcW w:w="1842" w:type="dxa"/>
            <w:vAlign w:val="center"/>
          </w:tcPr>
          <w:p w:rsidR="00EE1516" w:rsidRPr="00EE1516" w:rsidRDefault="00EE1516" w:rsidP="00093B9E">
            <w:pPr>
              <w:spacing w:line="400" w:lineRule="exact"/>
              <w:ind w:left="-57" w:right="-57"/>
              <w:jc w:val="center"/>
              <w:rPr>
                <w:rFonts w:ascii="仿宋_GB2312" w:eastAsia="仿宋_GB2312" w:hAnsi="仿宋"/>
                <w:sz w:val="24"/>
                <w:szCs w:val="24"/>
              </w:rPr>
            </w:pPr>
          </w:p>
        </w:tc>
        <w:tc>
          <w:tcPr>
            <w:tcW w:w="709" w:type="dxa"/>
            <w:vAlign w:val="center"/>
          </w:tcPr>
          <w:p w:rsidR="00EE1516" w:rsidRPr="00EE1516" w:rsidRDefault="00EE1516" w:rsidP="00093B9E">
            <w:pPr>
              <w:spacing w:line="400" w:lineRule="exact"/>
              <w:ind w:left="-57" w:right="-57"/>
              <w:jc w:val="center"/>
              <w:rPr>
                <w:rFonts w:ascii="仿宋_GB2312" w:eastAsia="仿宋_GB2312" w:hAnsi="仿宋"/>
                <w:sz w:val="24"/>
                <w:szCs w:val="24"/>
              </w:rPr>
            </w:pPr>
            <w:r w:rsidRPr="00EE1516">
              <w:rPr>
                <w:rFonts w:ascii="仿宋_GB2312" w:eastAsia="仿宋_GB2312" w:hAnsi="仿宋" w:hint="eastAsia"/>
                <w:sz w:val="24"/>
                <w:szCs w:val="24"/>
              </w:rPr>
              <w:t>4</w:t>
            </w:r>
          </w:p>
        </w:tc>
        <w:tc>
          <w:tcPr>
            <w:tcW w:w="709" w:type="dxa"/>
            <w:vAlign w:val="center"/>
          </w:tcPr>
          <w:p w:rsidR="00EE1516" w:rsidRPr="00EE1516" w:rsidRDefault="00EE1516" w:rsidP="00093B9E">
            <w:pPr>
              <w:spacing w:line="400" w:lineRule="exact"/>
              <w:ind w:left="-57" w:right="-57"/>
              <w:jc w:val="center"/>
              <w:rPr>
                <w:rFonts w:ascii="仿宋_GB2312" w:eastAsia="仿宋_GB2312" w:hAnsi="仿宋"/>
                <w:sz w:val="24"/>
                <w:szCs w:val="24"/>
              </w:rPr>
            </w:pPr>
            <w:r w:rsidRPr="00EE1516">
              <w:rPr>
                <w:rFonts w:ascii="仿宋_GB2312" w:eastAsia="仿宋_GB2312" w:hAnsi="仿宋" w:hint="eastAsia"/>
                <w:sz w:val="24"/>
                <w:szCs w:val="24"/>
              </w:rPr>
              <w:t>72</w:t>
            </w:r>
          </w:p>
        </w:tc>
        <w:tc>
          <w:tcPr>
            <w:tcW w:w="850" w:type="dxa"/>
            <w:vAlign w:val="center"/>
          </w:tcPr>
          <w:p w:rsidR="00EE1516" w:rsidRPr="00EE1516" w:rsidRDefault="00EE1516" w:rsidP="00093B9E">
            <w:pPr>
              <w:spacing w:line="400" w:lineRule="exact"/>
              <w:ind w:left="-57" w:right="-57"/>
              <w:jc w:val="center"/>
              <w:rPr>
                <w:rFonts w:ascii="仿宋_GB2312" w:eastAsia="仿宋_GB2312" w:hAnsi="仿宋"/>
                <w:sz w:val="24"/>
                <w:szCs w:val="24"/>
              </w:rPr>
            </w:pPr>
            <w:r w:rsidRPr="00EE1516">
              <w:rPr>
                <w:rFonts w:ascii="仿宋_GB2312" w:eastAsia="仿宋_GB2312" w:hAnsi="仿宋" w:hint="eastAsia"/>
                <w:sz w:val="24"/>
                <w:szCs w:val="24"/>
              </w:rPr>
              <w:t>1</w:t>
            </w:r>
          </w:p>
        </w:tc>
        <w:tc>
          <w:tcPr>
            <w:tcW w:w="851" w:type="dxa"/>
            <w:vAlign w:val="center"/>
          </w:tcPr>
          <w:p w:rsidR="00EE1516" w:rsidRPr="00EE1516" w:rsidRDefault="00EE1516" w:rsidP="00093B9E">
            <w:pPr>
              <w:spacing w:line="400" w:lineRule="exact"/>
              <w:ind w:left="-57" w:right="-57"/>
              <w:jc w:val="center"/>
              <w:rPr>
                <w:rFonts w:ascii="仿宋_GB2312" w:eastAsia="仿宋_GB2312" w:hAnsi="仿宋"/>
                <w:sz w:val="24"/>
                <w:szCs w:val="24"/>
              </w:rPr>
            </w:pPr>
            <w:r w:rsidRPr="00EE1516">
              <w:rPr>
                <w:rFonts w:ascii="仿宋_GB2312" w:eastAsia="仿宋_GB2312" w:hAnsi="仿宋" w:hint="eastAsia"/>
                <w:sz w:val="24"/>
                <w:szCs w:val="24"/>
              </w:rPr>
              <w:t>讲授</w:t>
            </w:r>
          </w:p>
        </w:tc>
        <w:tc>
          <w:tcPr>
            <w:tcW w:w="850" w:type="dxa"/>
          </w:tcPr>
          <w:p w:rsidR="00EE1516" w:rsidRPr="00EE1516" w:rsidRDefault="00EE1516" w:rsidP="00093B9E">
            <w:r w:rsidRPr="00EE1516">
              <w:rPr>
                <w:rFonts w:ascii="仿宋_GB2312" w:eastAsia="仿宋_GB2312" w:hAnsi="仿宋" w:hint="eastAsia"/>
                <w:sz w:val="24"/>
                <w:szCs w:val="24"/>
              </w:rPr>
              <w:t>考试论文</w:t>
            </w:r>
          </w:p>
        </w:tc>
        <w:tc>
          <w:tcPr>
            <w:tcW w:w="1940" w:type="dxa"/>
            <w:vAlign w:val="center"/>
          </w:tcPr>
          <w:p w:rsidR="00EE1516" w:rsidRPr="00EE1516" w:rsidRDefault="00EE1516" w:rsidP="00093B9E">
            <w:pPr>
              <w:snapToGrid w:val="0"/>
              <w:spacing w:line="400" w:lineRule="exact"/>
              <w:jc w:val="left"/>
              <w:rPr>
                <w:rFonts w:ascii="仿宋_GB2312" w:eastAsia="仿宋_GB2312" w:hAnsi="仿宋"/>
                <w:sz w:val="24"/>
                <w:szCs w:val="24"/>
              </w:rPr>
            </w:pPr>
          </w:p>
        </w:tc>
      </w:tr>
      <w:tr w:rsidR="00EE1516" w:rsidRPr="00EE1516" w:rsidTr="00093B9E">
        <w:trPr>
          <w:cantSplit/>
          <w:trHeight w:val="481"/>
          <w:jc w:val="center"/>
        </w:trPr>
        <w:tc>
          <w:tcPr>
            <w:tcW w:w="741" w:type="dxa"/>
            <w:vMerge/>
            <w:vAlign w:val="center"/>
          </w:tcPr>
          <w:p w:rsidR="00EE1516" w:rsidRPr="00EE1516" w:rsidRDefault="00EE1516" w:rsidP="00093B9E">
            <w:pPr>
              <w:ind w:left="113"/>
              <w:jc w:val="center"/>
              <w:rPr>
                <w:rFonts w:ascii="仿宋_GB2312" w:eastAsia="仿宋_GB2312" w:hAnsi="仿宋"/>
                <w:sz w:val="24"/>
                <w:szCs w:val="24"/>
              </w:rPr>
            </w:pPr>
          </w:p>
        </w:tc>
        <w:tc>
          <w:tcPr>
            <w:tcW w:w="862" w:type="dxa"/>
            <w:vAlign w:val="center"/>
          </w:tcPr>
          <w:p w:rsidR="00EE1516" w:rsidRPr="00EE1516" w:rsidRDefault="00EE1516" w:rsidP="00093B9E">
            <w:pPr>
              <w:spacing w:line="400" w:lineRule="exact"/>
              <w:jc w:val="center"/>
              <w:rPr>
                <w:rFonts w:ascii="仿宋_GB2312" w:eastAsia="仿宋_GB2312" w:hAnsi="仿宋"/>
                <w:sz w:val="24"/>
                <w:szCs w:val="24"/>
              </w:rPr>
            </w:pPr>
            <w:r w:rsidRPr="00EE1516">
              <w:rPr>
                <w:rFonts w:ascii="仿宋_GB2312" w:eastAsia="仿宋_GB2312" w:hAnsi="仿宋" w:hint="eastAsia"/>
                <w:sz w:val="24"/>
                <w:szCs w:val="24"/>
              </w:rPr>
              <w:t>学位专业课</w:t>
            </w:r>
          </w:p>
        </w:tc>
        <w:tc>
          <w:tcPr>
            <w:tcW w:w="3248" w:type="dxa"/>
            <w:vAlign w:val="center"/>
          </w:tcPr>
          <w:p w:rsidR="00EE1516" w:rsidRPr="00EE1516" w:rsidRDefault="00EE1516" w:rsidP="00093B9E">
            <w:pPr>
              <w:spacing w:line="400" w:lineRule="exact"/>
              <w:ind w:left="-57" w:right="-57"/>
              <w:jc w:val="left"/>
              <w:rPr>
                <w:rFonts w:ascii="仿宋_GB2312" w:eastAsia="仿宋_GB2312" w:hAnsi="仿宋"/>
                <w:sz w:val="24"/>
                <w:szCs w:val="24"/>
              </w:rPr>
            </w:pPr>
            <w:r w:rsidRPr="00EE1516">
              <w:rPr>
                <w:rFonts w:ascii="仿宋_GB2312" w:eastAsia="仿宋_GB2312" w:hint="eastAsia"/>
                <w:sz w:val="24"/>
                <w:szCs w:val="24"/>
              </w:rPr>
              <w:t>学科方向专题研讨课</w:t>
            </w:r>
          </w:p>
        </w:tc>
        <w:tc>
          <w:tcPr>
            <w:tcW w:w="1134" w:type="dxa"/>
            <w:vAlign w:val="center"/>
          </w:tcPr>
          <w:p w:rsidR="00EE1516" w:rsidRPr="00EE1516" w:rsidRDefault="00EE1516" w:rsidP="00093B9E">
            <w:pPr>
              <w:spacing w:line="400" w:lineRule="exact"/>
              <w:jc w:val="center"/>
              <w:rPr>
                <w:rFonts w:ascii="仿宋_GB2312" w:eastAsia="仿宋_GB2312" w:hAnsi="仿宋"/>
                <w:sz w:val="24"/>
                <w:szCs w:val="24"/>
              </w:rPr>
            </w:pPr>
            <w:r w:rsidRPr="00EE1516">
              <w:rPr>
                <w:rFonts w:ascii="仿宋_GB2312" w:eastAsia="仿宋_GB2312" w:hAnsi="仿宋" w:hint="eastAsia"/>
                <w:sz w:val="24"/>
                <w:szCs w:val="24"/>
              </w:rPr>
              <w:t>1</w:t>
            </w:r>
          </w:p>
        </w:tc>
        <w:tc>
          <w:tcPr>
            <w:tcW w:w="1842" w:type="dxa"/>
            <w:vAlign w:val="center"/>
          </w:tcPr>
          <w:p w:rsidR="00EE1516" w:rsidRPr="00EE1516" w:rsidRDefault="00EE1516" w:rsidP="00093B9E">
            <w:pPr>
              <w:spacing w:line="400" w:lineRule="exact"/>
              <w:ind w:left="-57" w:right="-57"/>
              <w:jc w:val="center"/>
              <w:rPr>
                <w:rFonts w:ascii="仿宋_GB2312" w:eastAsia="仿宋_GB2312" w:hAnsi="仿宋"/>
                <w:sz w:val="24"/>
                <w:szCs w:val="24"/>
              </w:rPr>
            </w:pPr>
          </w:p>
        </w:tc>
        <w:tc>
          <w:tcPr>
            <w:tcW w:w="709" w:type="dxa"/>
            <w:vAlign w:val="center"/>
          </w:tcPr>
          <w:p w:rsidR="00EE1516" w:rsidRPr="00EE1516" w:rsidRDefault="00EE1516" w:rsidP="00093B9E">
            <w:pPr>
              <w:spacing w:line="400" w:lineRule="exact"/>
              <w:ind w:left="-57" w:right="-57"/>
              <w:jc w:val="center"/>
              <w:rPr>
                <w:rFonts w:ascii="仿宋_GB2312" w:eastAsia="仿宋_GB2312" w:hAnsi="仿宋"/>
                <w:sz w:val="24"/>
                <w:szCs w:val="24"/>
              </w:rPr>
            </w:pPr>
            <w:r w:rsidRPr="00EE1516">
              <w:rPr>
                <w:rFonts w:ascii="仿宋_GB2312" w:eastAsia="仿宋_GB2312" w:hAnsi="仿宋" w:hint="eastAsia"/>
                <w:sz w:val="24"/>
                <w:szCs w:val="24"/>
              </w:rPr>
              <w:t>4</w:t>
            </w:r>
          </w:p>
        </w:tc>
        <w:tc>
          <w:tcPr>
            <w:tcW w:w="709" w:type="dxa"/>
            <w:vAlign w:val="center"/>
          </w:tcPr>
          <w:p w:rsidR="00EE1516" w:rsidRPr="00EE1516" w:rsidRDefault="00EE1516" w:rsidP="00093B9E">
            <w:pPr>
              <w:spacing w:line="400" w:lineRule="exact"/>
              <w:ind w:left="-57" w:right="-57"/>
              <w:jc w:val="center"/>
              <w:rPr>
                <w:rFonts w:ascii="仿宋_GB2312" w:eastAsia="仿宋_GB2312" w:hAnsi="仿宋"/>
                <w:sz w:val="24"/>
                <w:szCs w:val="24"/>
              </w:rPr>
            </w:pPr>
            <w:r w:rsidRPr="00EE1516">
              <w:rPr>
                <w:rFonts w:ascii="仿宋_GB2312" w:eastAsia="仿宋_GB2312" w:hAnsi="仿宋" w:hint="eastAsia"/>
                <w:sz w:val="24"/>
                <w:szCs w:val="24"/>
              </w:rPr>
              <w:t>72</w:t>
            </w:r>
          </w:p>
        </w:tc>
        <w:tc>
          <w:tcPr>
            <w:tcW w:w="850" w:type="dxa"/>
            <w:vAlign w:val="center"/>
          </w:tcPr>
          <w:p w:rsidR="00EE1516" w:rsidRPr="00EE1516" w:rsidRDefault="00EE1516" w:rsidP="00093B9E">
            <w:pPr>
              <w:spacing w:line="400" w:lineRule="exact"/>
              <w:ind w:left="-57" w:right="-57"/>
              <w:jc w:val="center"/>
              <w:rPr>
                <w:rFonts w:ascii="仿宋_GB2312" w:eastAsia="仿宋_GB2312" w:hAnsi="仿宋"/>
                <w:sz w:val="24"/>
                <w:szCs w:val="24"/>
              </w:rPr>
            </w:pPr>
            <w:r w:rsidRPr="00EE1516">
              <w:rPr>
                <w:rFonts w:ascii="仿宋_GB2312" w:eastAsia="仿宋_GB2312" w:hAnsi="仿宋" w:hint="eastAsia"/>
                <w:sz w:val="24"/>
                <w:szCs w:val="24"/>
              </w:rPr>
              <w:t>2</w:t>
            </w:r>
          </w:p>
        </w:tc>
        <w:tc>
          <w:tcPr>
            <w:tcW w:w="851" w:type="dxa"/>
            <w:vAlign w:val="center"/>
          </w:tcPr>
          <w:p w:rsidR="00EE1516" w:rsidRPr="00EE1516" w:rsidRDefault="00EE1516" w:rsidP="00093B9E">
            <w:pPr>
              <w:spacing w:line="400" w:lineRule="exact"/>
              <w:ind w:left="-57" w:right="-57"/>
              <w:jc w:val="center"/>
              <w:rPr>
                <w:rFonts w:ascii="仿宋_GB2312" w:eastAsia="仿宋_GB2312" w:hAnsi="仿宋"/>
                <w:sz w:val="24"/>
                <w:szCs w:val="24"/>
              </w:rPr>
            </w:pPr>
            <w:r w:rsidRPr="00EE1516">
              <w:rPr>
                <w:rFonts w:ascii="仿宋_GB2312" w:eastAsia="仿宋_GB2312" w:hAnsi="仿宋" w:hint="eastAsia"/>
                <w:sz w:val="24"/>
                <w:szCs w:val="24"/>
              </w:rPr>
              <w:t>单独授课</w:t>
            </w:r>
          </w:p>
        </w:tc>
        <w:tc>
          <w:tcPr>
            <w:tcW w:w="850" w:type="dxa"/>
          </w:tcPr>
          <w:p w:rsidR="00EE1516" w:rsidRPr="00EE1516" w:rsidRDefault="00EE1516" w:rsidP="00093B9E">
            <w:r w:rsidRPr="00EE1516">
              <w:rPr>
                <w:rFonts w:ascii="仿宋_GB2312" w:eastAsia="仿宋_GB2312" w:hAnsi="仿宋" w:hint="eastAsia"/>
                <w:sz w:val="24"/>
                <w:szCs w:val="24"/>
              </w:rPr>
              <w:t>考试论文</w:t>
            </w:r>
          </w:p>
        </w:tc>
        <w:tc>
          <w:tcPr>
            <w:tcW w:w="1940" w:type="dxa"/>
            <w:vAlign w:val="center"/>
          </w:tcPr>
          <w:p w:rsidR="00EE1516" w:rsidRPr="00EE1516" w:rsidRDefault="00EE1516" w:rsidP="00093B9E">
            <w:pPr>
              <w:snapToGrid w:val="0"/>
              <w:spacing w:line="400" w:lineRule="exact"/>
              <w:jc w:val="left"/>
              <w:rPr>
                <w:rFonts w:ascii="仿宋_GB2312" w:eastAsia="仿宋_GB2312" w:hAnsi="仿宋"/>
                <w:sz w:val="24"/>
                <w:szCs w:val="24"/>
              </w:rPr>
            </w:pPr>
          </w:p>
        </w:tc>
      </w:tr>
      <w:tr w:rsidR="00EE1516" w:rsidRPr="00EE1516" w:rsidTr="00093B9E">
        <w:trPr>
          <w:cantSplit/>
          <w:trHeight w:val="669"/>
          <w:jc w:val="center"/>
        </w:trPr>
        <w:tc>
          <w:tcPr>
            <w:tcW w:w="1603" w:type="dxa"/>
            <w:gridSpan w:val="2"/>
            <w:vMerge w:val="restart"/>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补修课程</w:t>
            </w:r>
          </w:p>
        </w:tc>
        <w:tc>
          <w:tcPr>
            <w:tcW w:w="3248" w:type="dxa"/>
            <w:vAlign w:val="center"/>
          </w:tcPr>
          <w:p w:rsidR="00EE1516" w:rsidRPr="00EE1516" w:rsidRDefault="00EE1516" w:rsidP="00093B9E">
            <w:pPr>
              <w:widowControl/>
              <w:jc w:val="left"/>
              <w:rPr>
                <w:rFonts w:ascii="仿宋_GB2312" w:eastAsia="仿宋_GB2312" w:cs="宋体"/>
                <w:kern w:val="0"/>
                <w:sz w:val="24"/>
                <w:szCs w:val="24"/>
              </w:rPr>
            </w:pPr>
            <w:r w:rsidRPr="00EE1516">
              <w:rPr>
                <w:rFonts w:ascii="仿宋_GB2312" w:eastAsia="仿宋_GB2312" w:hAnsi="仿宋" w:hint="eastAsia"/>
                <w:sz w:val="24"/>
                <w:szCs w:val="24"/>
              </w:rPr>
              <w:t>民法学</w:t>
            </w:r>
          </w:p>
        </w:tc>
        <w:tc>
          <w:tcPr>
            <w:tcW w:w="1134" w:type="dxa"/>
            <w:vAlign w:val="center"/>
          </w:tcPr>
          <w:p w:rsidR="00EE1516" w:rsidRPr="00EE1516" w:rsidRDefault="00EE1516" w:rsidP="00093B9E">
            <w:pPr>
              <w:spacing w:line="240" w:lineRule="atLeast"/>
              <w:ind w:right="-57"/>
              <w:jc w:val="center"/>
              <w:rPr>
                <w:rFonts w:ascii="仿宋_GB2312" w:eastAsia="仿宋_GB2312" w:hAnsi="仿宋"/>
                <w:sz w:val="24"/>
                <w:szCs w:val="24"/>
              </w:rPr>
            </w:pPr>
            <w:r w:rsidRPr="00EE1516">
              <w:rPr>
                <w:rFonts w:ascii="仿宋_GB2312" w:eastAsia="仿宋_GB2312" w:hAnsi="仿宋" w:hint="eastAsia"/>
                <w:sz w:val="24"/>
                <w:szCs w:val="24"/>
              </w:rPr>
              <w:t>1</w:t>
            </w:r>
          </w:p>
        </w:tc>
        <w:tc>
          <w:tcPr>
            <w:tcW w:w="1842" w:type="dxa"/>
            <w:vAlign w:val="center"/>
          </w:tcPr>
          <w:p w:rsidR="00EE1516" w:rsidRPr="00EE1516" w:rsidRDefault="00EE1516" w:rsidP="00093B9E">
            <w:pPr>
              <w:ind w:left="-57" w:right="-57"/>
              <w:jc w:val="center"/>
              <w:rPr>
                <w:rFonts w:ascii="仿宋_GB2312" w:eastAsia="仿宋_GB2312" w:hAnsi="仿宋"/>
                <w:sz w:val="24"/>
                <w:szCs w:val="24"/>
              </w:rPr>
            </w:pPr>
          </w:p>
        </w:tc>
        <w:tc>
          <w:tcPr>
            <w:tcW w:w="709" w:type="dxa"/>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2</w:t>
            </w:r>
          </w:p>
        </w:tc>
        <w:tc>
          <w:tcPr>
            <w:tcW w:w="709" w:type="dxa"/>
            <w:vAlign w:val="center"/>
          </w:tcPr>
          <w:p w:rsidR="00EE1516" w:rsidRPr="00EE1516" w:rsidRDefault="00EE1516" w:rsidP="00093B9E">
            <w:pPr>
              <w:ind w:left="-57" w:right="-57" w:firstLineChars="50" w:firstLine="120"/>
              <w:jc w:val="center"/>
              <w:rPr>
                <w:rFonts w:ascii="仿宋_GB2312" w:eastAsia="仿宋_GB2312" w:hAnsi="仿宋"/>
                <w:sz w:val="24"/>
                <w:szCs w:val="24"/>
              </w:rPr>
            </w:pPr>
            <w:r w:rsidRPr="00EE1516">
              <w:rPr>
                <w:rFonts w:ascii="仿宋_GB2312" w:eastAsia="仿宋_GB2312" w:hAnsi="仿宋" w:hint="eastAsia"/>
                <w:sz w:val="24"/>
                <w:szCs w:val="24"/>
              </w:rPr>
              <w:t>36</w:t>
            </w:r>
          </w:p>
        </w:tc>
        <w:tc>
          <w:tcPr>
            <w:tcW w:w="850" w:type="dxa"/>
            <w:vAlign w:val="center"/>
          </w:tcPr>
          <w:p w:rsidR="00EE1516" w:rsidRPr="00EE1516" w:rsidRDefault="00EE1516" w:rsidP="00093B9E">
            <w:pPr>
              <w:spacing w:line="240" w:lineRule="atLeast"/>
              <w:ind w:right="-57"/>
              <w:jc w:val="center"/>
              <w:rPr>
                <w:rFonts w:ascii="仿宋_GB2312" w:eastAsia="仿宋_GB2312" w:hAnsi="仿宋"/>
                <w:sz w:val="24"/>
                <w:szCs w:val="24"/>
              </w:rPr>
            </w:pPr>
            <w:r w:rsidRPr="00EE1516">
              <w:rPr>
                <w:rFonts w:ascii="仿宋_GB2312" w:eastAsia="仿宋_GB2312" w:hAnsi="仿宋" w:hint="eastAsia"/>
                <w:sz w:val="24"/>
                <w:szCs w:val="24"/>
              </w:rPr>
              <w:t>1</w:t>
            </w:r>
          </w:p>
        </w:tc>
        <w:tc>
          <w:tcPr>
            <w:tcW w:w="851" w:type="dxa"/>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讲授</w:t>
            </w:r>
          </w:p>
        </w:tc>
        <w:tc>
          <w:tcPr>
            <w:tcW w:w="850" w:type="dxa"/>
            <w:vAlign w:val="center"/>
          </w:tcPr>
          <w:p w:rsidR="00EE1516" w:rsidRPr="00EE1516" w:rsidRDefault="00EE1516" w:rsidP="00093B9E">
            <w:pPr>
              <w:spacing w:line="240" w:lineRule="atLeast"/>
              <w:ind w:leftChars="-27" w:left="-57" w:right="-57"/>
              <w:jc w:val="left"/>
              <w:rPr>
                <w:rFonts w:ascii="仿宋_GB2312" w:eastAsia="仿宋_GB2312" w:hAnsi="仿宋"/>
                <w:sz w:val="24"/>
                <w:szCs w:val="24"/>
              </w:rPr>
            </w:pPr>
            <w:r w:rsidRPr="00EE1516">
              <w:rPr>
                <w:rFonts w:ascii="仿宋_GB2312" w:eastAsia="仿宋_GB2312" w:hAnsi="仿宋" w:hint="eastAsia"/>
                <w:sz w:val="24"/>
                <w:szCs w:val="24"/>
              </w:rPr>
              <w:t>考试</w:t>
            </w:r>
          </w:p>
        </w:tc>
        <w:tc>
          <w:tcPr>
            <w:tcW w:w="1940" w:type="dxa"/>
            <w:vMerge w:val="restart"/>
            <w:vAlign w:val="center"/>
          </w:tcPr>
          <w:p w:rsidR="00EE1516" w:rsidRPr="00EE1516" w:rsidRDefault="00EE1516" w:rsidP="00093B9E">
            <w:pPr>
              <w:spacing w:line="240" w:lineRule="atLeast"/>
              <w:jc w:val="left"/>
              <w:rPr>
                <w:rFonts w:ascii="仿宋_GB2312" w:eastAsia="仿宋_GB2312" w:hAnsi="仿宋"/>
                <w:sz w:val="24"/>
                <w:szCs w:val="24"/>
              </w:rPr>
            </w:pPr>
            <w:r w:rsidRPr="00EE1516">
              <w:rPr>
                <w:rFonts w:ascii="仿宋_GB2312" w:eastAsia="仿宋_GB2312" w:hAnsi="仿宋" w:hint="eastAsia"/>
                <w:sz w:val="24"/>
                <w:szCs w:val="24"/>
              </w:rPr>
              <w:t>跨学科、同等学力博士研究生必修</w:t>
            </w:r>
          </w:p>
        </w:tc>
      </w:tr>
      <w:tr w:rsidR="00EE1516" w:rsidRPr="00EE1516" w:rsidTr="00093B9E">
        <w:trPr>
          <w:cantSplit/>
          <w:trHeight w:val="693"/>
          <w:jc w:val="center"/>
        </w:trPr>
        <w:tc>
          <w:tcPr>
            <w:tcW w:w="1603" w:type="dxa"/>
            <w:gridSpan w:val="2"/>
            <w:vMerge/>
            <w:vAlign w:val="center"/>
          </w:tcPr>
          <w:p w:rsidR="00EE1516" w:rsidRPr="00EE1516" w:rsidRDefault="00EE1516" w:rsidP="00093B9E">
            <w:pPr>
              <w:ind w:left="-57" w:right="-57"/>
              <w:jc w:val="left"/>
              <w:rPr>
                <w:rFonts w:ascii="仿宋_GB2312" w:eastAsia="仿宋_GB2312" w:hAnsi="仿宋"/>
                <w:sz w:val="24"/>
                <w:szCs w:val="24"/>
              </w:rPr>
            </w:pPr>
          </w:p>
        </w:tc>
        <w:tc>
          <w:tcPr>
            <w:tcW w:w="3248" w:type="dxa"/>
            <w:vAlign w:val="center"/>
          </w:tcPr>
          <w:p w:rsidR="00EE1516" w:rsidRPr="00EE1516" w:rsidRDefault="00EE1516" w:rsidP="00093B9E">
            <w:pPr>
              <w:ind w:left="-57" w:right="-57"/>
              <w:jc w:val="left"/>
              <w:rPr>
                <w:rFonts w:ascii="仿宋_GB2312" w:eastAsia="仿宋_GB2312" w:hAnsi="仿宋"/>
                <w:sz w:val="24"/>
                <w:szCs w:val="24"/>
              </w:rPr>
            </w:pPr>
            <w:r w:rsidRPr="00EE1516">
              <w:rPr>
                <w:rFonts w:ascii="仿宋_GB2312" w:eastAsia="仿宋_GB2312" w:hAnsi="仿宋" w:hint="eastAsia"/>
                <w:sz w:val="24"/>
                <w:szCs w:val="24"/>
              </w:rPr>
              <w:t>宪法学与行政法学</w:t>
            </w:r>
          </w:p>
        </w:tc>
        <w:tc>
          <w:tcPr>
            <w:tcW w:w="1134" w:type="dxa"/>
            <w:vAlign w:val="center"/>
          </w:tcPr>
          <w:p w:rsidR="00EE1516" w:rsidRPr="00EE1516" w:rsidRDefault="00EE1516" w:rsidP="00093B9E">
            <w:pPr>
              <w:spacing w:line="240" w:lineRule="atLeast"/>
              <w:ind w:right="-57"/>
              <w:jc w:val="center"/>
              <w:rPr>
                <w:rFonts w:ascii="仿宋_GB2312" w:eastAsia="仿宋_GB2312" w:hAnsi="仿宋"/>
                <w:sz w:val="24"/>
                <w:szCs w:val="24"/>
              </w:rPr>
            </w:pPr>
            <w:r w:rsidRPr="00EE1516">
              <w:rPr>
                <w:rFonts w:ascii="仿宋_GB2312" w:eastAsia="仿宋_GB2312" w:hAnsi="仿宋" w:hint="eastAsia"/>
                <w:sz w:val="24"/>
                <w:szCs w:val="24"/>
              </w:rPr>
              <w:t>1</w:t>
            </w:r>
          </w:p>
        </w:tc>
        <w:tc>
          <w:tcPr>
            <w:tcW w:w="1842" w:type="dxa"/>
            <w:vAlign w:val="center"/>
          </w:tcPr>
          <w:p w:rsidR="00EE1516" w:rsidRPr="00EE1516" w:rsidRDefault="00EE1516" w:rsidP="00093B9E">
            <w:pPr>
              <w:ind w:left="-57" w:right="-57"/>
              <w:jc w:val="center"/>
              <w:rPr>
                <w:rFonts w:ascii="仿宋_GB2312" w:eastAsia="仿宋_GB2312" w:hAnsi="仿宋"/>
                <w:sz w:val="24"/>
                <w:szCs w:val="24"/>
              </w:rPr>
            </w:pPr>
          </w:p>
        </w:tc>
        <w:tc>
          <w:tcPr>
            <w:tcW w:w="709" w:type="dxa"/>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2</w:t>
            </w:r>
          </w:p>
        </w:tc>
        <w:tc>
          <w:tcPr>
            <w:tcW w:w="709" w:type="dxa"/>
            <w:vAlign w:val="center"/>
          </w:tcPr>
          <w:p w:rsidR="00EE1516" w:rsidRPr="00EE1516" w:rsidRDefault="00EE1516" w:rsidP="00093B9E">
            <w:pPr>
              <w:ind w:left="-57" w:right="-57" w:firstLineChars="50" w:firstLine="120"/>
              <w:jc w:val="center"/>
              <w:rPr>
                <w:rFonts w:ascii="仿宋_GB2312" w:eastAsia="仿宋_GB2312" w:hAnsi="仿宋"/>
                <w:sz w:val="24"/>
                <w:szCs w:val="24"/>
              </w:rPr>
            </w:pPr>
            <w:r w:rsidRPr="00EE1516">
              <w:rPr>
                <w:rFonts w:ascii="仿宋_GB2312" w:eastAsia="仿宋_GB2312" w:hAnsi="仿宋" w:hint="eastAsia"/>
                <w:sz w:val="24"/>
                <w:szCs w:val="24"/>
              </w:rPr>
              <w:t>36</w:t>
            </w:r>
          </w:p>
        </w:tc>
        <w:tc>
          <w:tcPr>
            <w:tcW w:w="850" w:type="dxa"/>
            <w:vAlign w:val="center"/>
          </w:tcPr>
          <w:p w:rsidR="00EE1516" w:rsidRPr="00EE1516" w:rsidRDefault="00EE1516" w:rsidP="00093B9E">
            <w:pPr>
              <w:spacing w:line="240" w:lineRule="atLeast"/>
              <w:ind w:right="-57"/>
              <w:jc w:val="center"/>
              <w:rPr>
                <w:rFonts w:ascii="仿宋_GB2312" w:eastAsia="仿宋_GB2312" w:hAnsi="仿宋"/>
                <w:sz w:val="24"/>
                <w:szCs w:val="24"/>
              </w:rPr>
            </w:pPr>
            <w:r w:rsidRPr="00EE1516">
              <w:rPr>
                <w:rFonts w:ascii="仿宋_GB2312" w:eastAsia="仿宋_GB2312" w:hAnsi="仿宋" w:hint="eastAsia"/>
                <w:sz w:val="24"/>
                <w:szCs w:val="24"/>
              </w:rPr>
              <w:t>2</w:t>
            </w:r>
          </w:p>
        </w:tc>
        <w:tc>
          <w:tcPr>
            <w:tcW w:w="851" w:type="dxa"/>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讲授</w:t>
            </w:r>
          </w:p>
        </w:tc>
        <w:tc>
          <w:tcPr>
            <w:tcW w:w="850" w:type="dxa"/>
            <w:vAlign w:val="center"/>
          </w:tcPr>
          <w:p w:rsidR="00EE1516" w:rsidRPr="00EE1516" w:rsidRDefault="00EE1516" w:rsidP="00093B9E">
            <w:pPr>
              <w:spacing w:line="240" w:lineRule="atLeast"/>
              <w:ind w:leftChars="-27" w:left="-57" w:right="-57"/>
              <w:jc w:val="left"/>
              <w:rPr>
                <w:rFonts w:ascii="仿宋_GB2312" w:eastAsia="仿宋_GB2312" w:hAnsi="仿宋"/>
                <w:sz w:val="24"/>
                <w:szCs w:val="24"/>
              </w:rPr>
            </w:pPr>
            <w:r w:rsidRPr="00EE1516">
              <w:rPr>
                <w:rFonts w:ascii="仿宋_GB2312" w:eastAsia="仿宋_GB2312" w:hAnsi="仿宋" w:hint="eastAsia"/>
                <w:sz w:val="24"/>
                <w:szCs w:val="24"/>
              </w:rPr>
              <w:t>考试</w:t>
            </w:r>
          </w:p>
        </w:tc>
        <w:tc>
          <w:tcPr>
            <w:tcW w:w="1940" w:type="dxa"/>
            <w:vMerge/>
            <w:vAlign w:val="center"/>
          </w:tcPr>
          <w:p w:rsidR="00EE1516" w:rsidRPr="00EE1516" w:rsidRDefault="00EE1516" w:rsidP="00093B9E">
            <w:pPr>
              <w:spacing w:line="240" w:lineRule="atLeast"/>
              <w:jc w:val="center"/>
              <w:rPr>
                <w:rFonts w:ascii="仿宋_GB2312" w:eastAsia="仿宋_GB2312" w:hAnsi="仿宋"/>
                <w:sz w:val="24"/>
                <w:szCs w:val="24"/>
              </w:rPr>
            </w:pPr>
          </w:p>
        </w:tc>
      </w:tr>
      <w:tr w:rsidR="00EE1516" w:rsidRPr="00EE1516" w:rsidTr="00093B9E">
        <w:trPr>
          <w:cantSplit/>
          <w:trHeight w:val="648"/>
          <w:jc w:val="center"/>
        </w:trPr>
        <w:tc>
          <w:tcPr>
            <w:tcW w:w="1603" w:type="dxa"/>
            <w:gridSpan w:val="2"/>
            <w:vMerge w:val="restart"/>
            <w:vAlign w:val="center"/>
          </w:tcPr>
          <w:p w:rsidR="00EE1516" w:rsidRPr="00EE1516" w:rsidRDefault="00EE1516" w:rsidP="00093B9E">
            <w:pPr>
              <w:spacing w:line="240" w:lineRule="atLeast"/>
              <w:jc w:val="center"/>
              <w:rPr>
                <w:rFonts w:ascii="仿宋_GB2312" w:eastAsia="仿宋_GB2312" w:hAnsi="仿宋"/>
                <w:sz w:val="24"/>
                <w:szCs w:val="24"/>
              </w:rPr>
            </w:pPr>
            <w:r w:rsidRPr="00EE1516">
              <w:rPr>
                <w:rFonts w:ascii="仿宋_GB2312" w:eastAsia="仿宋_GB2312" w:hAnsi="仿宋" w:hint="eastAsia"/>
                <w:sz w:val="24"/>
                <w:szCs w:val="24"/>
              </w:rPr>
              <w:lastRenderedPageBreak/>
              <w:t>其他培养环节</w:t>
            </w:r>
          </w:p>
        </w:tc>
        <w:tc>
          <w:tcPr>
            <w:tcW w:w="3248" w:type="dxa"/>
            <w:vAlign w:val="center"/>
          </w:tcPr>
          <w:p w:rsidR="00EE1516" w:rsidRPr="00EE1516" w:rsidRDefault="00EE1516" w:rsidP="00093B9E">
            <w:pPr>
              <w:spacing w:line="240" w:lineRule="atLeast"/>
              <w:ind w:leftChars="-27" w:left="-57" w:right="-57"/>
              <w:jc w:val="center"/>
              <w:rPr>
                <w:rFonts w:ascii="仿宋_GB2312" w:eastAsia="仿宋_GB2312" w:hAnsi="仿宋"/>
                <w:sz w:val="24"/>
                <w:szCs w:val="24"/>
              </w:rPr>
            </w:pPr>
            <w:r w:rsidRPr="00EE1516">
              <w:rPr>
                <w:rFonts w:ascii="仿宋_GB2312" w:eastAsia="仿宋_GB2312" w:hAnsi="仿宋" w:hint="eastAsia"/>
                <w:sz w:val="24"/>
                <w:szCs w:val="24"/>
              </w:rPr>
              <w:t>1.文献阅读与综述</w:t>
            </w:r>
          </w:p>
          <w:p w:rsidR="00EE1516" w:rsidRPr="00EE1516" w:rsidRDefault="00EE1516" w:rsidP="00093B9E">
            <w:pPr>
              <w:spacing w:line="240" w:lineRule="atLeast"/>
              <w:ind w:leftChars="-27" w:left="-57" w:right="-57"/>
              <w:jc w:val="center"/>
              <w:rPr>
                <w:rFonts w:ascii="仿宋_GB2312" w:eastAsia="仿宋_GB2312" w:hAnsi="仿宋"/>
                <w:sz w:val="24"/>
                <w:szCs w:val="24"/>
              </w:rPr>
            </w:pPr>
            <w:r w:rsidRPr="00EE1516">
              <w:rPr>
                <w:rFonts w:ascii="仿宋_GB2312" w:eastAsia="仿宋_GB2312" w:hAnsi="仿宋" w:hint="eastAsia"/>
                <w:sz w:val="24"/>
                <w:szCs w:val="24"/>
              </w:rPr>
              <w:t>（导师考核）</w:t>
            </w:r>
          </w:p>
        </w:tc>
        <w:tc>
          <w:tcPr>
            <w:tcW w:w="2976" w:type="dxa"/>
            <w:gridSpan w:val="2"/>
            <w:vAlign w:val="center"/>
          </w:tcPr>
          <w:p w:rsidR="00EE1516" w:rsidRPr="00EE1516" w:rsidRDefault="00EE1516" w:rsidP="00093B9E">
            <w:pPr>
              <w:ind w:firstLineChars="200" w:firstLine="480"/>
              <w:rPr>
                <w:rFonts w:ascii="仿宋_GB2312" w:eastAsia="仿宋_GB2312" w:hAnsi="仿宋"/>
                <w:sz w:val="24"/>
                <w:szCs w:val="24"/>
              </w:rPr>
            </w:pPr>
            <w:r w:rsidRPr="00EE1516">
              <w:rPr>
                <w:rFonts w:ascii="仿宋_GB2312" w:eastAsia="仿宋_GB2312" w:hAnsi="仿宋" w:hint="eastAsia"/>
                <w:sz w:val="24"/>
                <w:szCs w:val="24"/>
              </w:rPr>
              <w:t>文献阅读与综述是博士研究生掌握本学科的学术传统和研究脉络，训练博士生理解能力和概括能力，为博士生的学习、科研奠定一定理论基础和方法的重要环节。</w:t>
            </w:r>
          </w:p>
          <w:p w:rsidR="00EE1516" w:rsidRPr="00EE1516" w:rsidRDefault="00EE1516" w:rsidP="00093B9E">
            <w:pPr>
              <w:ind w:firstLineChars="200" w:firstLine="480"/>
              <w:rPr>
                <w:rFonts w:ascii="仿宋_GB2312" w:eastAsia="仿宋_GB2312" w:hAnsi="仿宋"/>
                <w:sz w:val="24"/>
                <w:szCs w:val="24"/>
              </w:rPr>
            </w:pPr>
            <w:r w:rsidRPr="00EE1516">
              <w:rPr>
                <w:rFonts w:ascii="仿宋_GB2312" w:eastAsia="仿宋_GB2312" w:hAnsi="仿宋" w:hint="eastAsia"/>
                <w:sz w:val="24"/>
                <w:szCs w:val="24"/>
              </w:rPr>
              <w:t>博士研究生第1至第4学期，每学期精读专著不少于3本，具体书目由导师指定，每学期应提交读书报告1篇，篇幅不少于4000字。</w:t>
            </w:r>
          </w:p>
        </w:tc>
        <w:tc>
          <w:tcPr>
            <w:tcW w:w="709" w:type="dxa"/>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2</w:t>
            </w:r>
          </w:p>
        </w:tc>
        <w:tc>
          <w:tcPr>
            <w:tcW w:w="709" w:type="dxa"/>
            <w:vMerge w:val="restart"/>
            <w:vAlign w:val="center"/>
          </w:tcPr>
          <w:p w:rsidR="00EE1516" w:rsidRPr="00EE1516" w:rsidRDefault="00EE1516" w:rsidP="00093B9E">
            <w:pPr>
              <w:ind w:left="-57" w:right="-57"/>
              <w:jc w:val="center"/>
              <w:rPr>
                <w:rFonts w:ascii="仿宋_GB2312" w:eastAsia="仿宋_GB2312" w:hAnsi="仿宋"/>
                <w:sz w:val="24"/>
                <w:szCs w:val="24"/>
              </w:rPr>
            </w:pPr>
          </w:p>
        </w:tc>
        <w:tc>
          <w:tcPr>
            <w:tcW w:w="850" w:type="dxa"/>
            <w:vMerge w:val="restart"/>
            <w:vAlign w:val="center"/>
          </w:tcPr>
          <w:p w:rsidR="00EE1516" w:rsidRPr="00EE1516" w:rsidRDefault="00EE1516" w:rsidP="00093B9E">
            <w:pPr>
              <w:spacing w:line="240" w:lineRule="atLeast"/>
              <w:ind w:right="-57"/>
              <w:jc w:val="center"/>
              <w:rPr>
                <w:rFonts w:ascii="仿宋_GB2312" w:eastAsia="仿宋_GB2312" w:hAnsi="仿宋"/>
                <w:sz w:val="24"/>
                <w:szCs w:val="24"/>
              </w:rPr>
            </w:pPr>
          </w:p>
        </w:tc>
        <w:tc>
          <w:tcPr>
            <w:tcW w:w="851" w:type="dxa"/>
            <w:vMerge w:val="restart"/>
            <w:vAlign w:val="center"/>
          </w:tcPr>
          <w:p w:rsidR="00EE1516" w:rsidRPr="00EE1516" w:rsidRDefault="00EE1516" w:rsidP="00093B9E">
            <w:pPr>
              <w:spacing w:line="240" w:lineRule="atLeast"/>
              <w:ind w:leftChars="-27" w:left="-57" w:right="-57"/>
              <w:jc w:val="center"/>
              <w:rPr>
                <w:rFonts w:ascii="仿宋_GB2312" w:eastAsia="仿宋_GB2312" w:hAnsi="仿宋"/>
                <w:sz w:val="24"/>
                <w:szCs w:val="24"/>
              </w:rPr>
            </w:pPr>
          </w:p>
        </w:tc>
        <w:tc>
          <w:tcPr>
            <w:tcW w:w="850" w:type="dxa"/>
            <w:vMerge w:val="restart"/>
            <w:vAlign w:val="center"/>
          </w:tcPr>
          <w:p w:rsidR="00EE1516" w:rsidRPr="00EE1516" w:rsidRDefault="00EE1516" w:rsidP="00093B9E">
            <w:pPr>
              <w:spacing w:line="240" w:lineRule="atLeast"/>
              <w:ind w:right="-57"/>
              <w:jc w:val="center"/>
              <w:rPr>
                <w:rFonts w:ascii="仿宋_GB2312" w:eastAsia="仿宋_GB2312" w:hAnsi="仿宋"/>
                <w:spacing w:val="-10"/>
                <w:sz w:val="24"/>
                <w:szCs w:val="24"/>
              </w:rPr>
            </w:pPr>
            <w:r w:rsidRPr="00EE1516">
              <w:rPr>
                <w:rFonts w:ascii="仿宋_GB2312" w:eastAsia="仿宋_GB2312" w:hAnsi="仿宋" w:hint="eastAsia"/>
                <w:spacing w:val="-10"/>
                <w:sz w:val="24"/>
                <w:szCs w:val="24"/>
              </w:rPr>
              <w:t>考查</w:t>
            </w:r>
          </w:p>
        </w:tc>
        <w:tc>
          <w:tcPr>
            <w:tcW w:w="1940" w:type="dxa"/>
            <w:vMerge w:val="restart"/>
            <w:vAlign w:val="center"/>
          </w:tcPr>
          <w:p w:rsidR="00EE1516" w:rsidRPr="00EE1516" w:rsidRDefault="00EE1516" w:rsidP="00093B9E">
            <w:pPr>
              <w:spacing w:line="400" w:lineRule="exact"/>
              <w:ind w:leftChars="-27" w:left="-57" w:right="-57"/>
              <w:jc w:val="left"/>
              <w:rPr>
                <w:rFonts w:ascii="仿宋_GB2312" w:eastAsia="仿宋_GB2312" w:hAnsi="仿宋"/>
                <w:spacing w:val="-8"/>
                <w:sz w:val="24"/>
                <w:szCs w:val="24"/>
              </w:rPr>
            </w:pPr>
            <w:r w:rsidRPr="00EE1516">
              <w:rPr>
                <w:rFonts w:ascii="仿宋_GB2312" w:eastAsia="仿宋_GB2312" w:hAnsi="仿宋" w:hint="eastAsia"/>
                <w:spacing w:val="-8"/>
                <w:sz w:val="24"/>
                <w:szCs w:val="24"/>
              </w:rPr>
              <w:t>所修学分不得低于6学分</w:t>
            </w:r>
          </w:p>
        </w:tc>
      </w:tr>
      <w:tr w:rsidR="00EE1516" w:rsidRPr="00EE1516" w:rsidTr="00093B9E">
        <w:trPr>
          <w:cantSplit/>
          <w:trHeight w:val="648"/>
          <w:jc w:val="center"/>
        </w:trPr>
        <w:tc>
          <w:tcPr>
            <w:tcW w:w="1603" w:type="dxa"/>
            <w:gridSpan w:val="2"/>
            <w:vMerge/>
            <w:vAlign w:val="center"/>
          </w:tcPr>
          <w:p w:rsidR="00EE1516" w:rsidRPr="00EE1516" w:rsidRDefault="00EE1516" w:rsidP="00093B9E">
            <w:pPr>
              <w:spacing w:line="240" w:lineRule="atLeast"/>
              <w:jc w:val="center"/>
              <w:rPr>
                <w:rFonts w:ascii="仿宋_GB2312" w:eastAsia="仿宋_GB2312" w:hAnsi="仿宋"/>
                <w:sz w:val="24"/>
                <w:szCs w:val="24"/>
              </w:rPr>
            </w:pPr>
          </w:p>
        </w:tc>
        <w:tc>
          <w:tcPr>
            <w:tcW w:w="3248" w:type="dxa"/>
            <w:vAlign w:val="center"/>
          </w:tcPr>
          <w:p w:rsidR="00EE1516" w:rsidRPr="00EE1516" w:rsidRDefault="00EE1516" w:rsidP="00093B9E">
            <w:pPr>
              <w:spacing w:line="240" w:lineRule="atLeast"/>
              <w:ind w:leftChars="-27" w:left="-57" w:right="-57"/>
              <w:jc w:val="center"/>
              <w:rPr>
                <w:rFonts w:ascii="仿宋_GB2312" w:eastAsia="仿宋_GB2312" w:hAnsi="仿宋"/>
                <w:sz w:val="24"/>
                <w:szCs w:val="24"/>
              </w:rPr>
            </w:pPr>
            <w:r w:rsidRPr="00EE1516">
              <w:rPr>
                <w:rFonts w:ascii="仿宋_GB2312" w:eastAsia="仿宋_GB2312" w:hAnsi="仿宋" w:hint="eastAsia"/>
                <w:sz w:val="24"/>
                <w:szCs w:val="24"/>
              </w:rPr>
              <w:t>2.科研环节</w:t>
            </w:r>
          </w:p>
          <w:p w:rsidR="00EE1516" w:rsidRPr="00EE1516" w:rsidRDefault="00EE1516" w:rsidP="00093B9E">
            <w:pPr>
              <w:spacing w:line="240" w:lineRule="atLeast"/>
              <w:ind w:leftChars="-27" w:left="-57" w:right="-57"/>
              <w:jc w:val="center"/>
              <w:rPr>
                <w:rFonts w:ascii="仿宋_GB2312" w:eastAsia="仿宋_GB2312" w:hAnsi="仿宋"/>
                <w:sz w:val="24"/>
                <w:szCs w:val="24"/>
              </w:rPr>
            </w:pPr>
            <w:r w:rsidRPr="00EE1516">
              <w:rPr>
                <w:rFonts w:ascii="仿宋_GB2312" w:eastAsia="仿宋_GB2312" w:hAnsi="仿宋" w:hint="eastAsia"/>
                <w:sz w:val="24"/>
                <w:szCs w:val="24"/>
              </w:rPr>
              <w:t>（导师考核</w:t>
            </w:r>
            <w:bookmarkStart w:id="0" w:name="_GoBack"/>
            <w:bookmarkEnd w:id="0"/>
            <w:r w:rsidRPr="00EE1516">
              <w:rPr>
                <w:rFonts w:ascii="仿宋_GB2312" w:eastAsia="仿宋_GB2312" w:hAnsi="仿宋" w:hint="eastAsia"/>
                <w:sz w:val="24"/>
                <w:szCs w:val="24"/>
              </w:rPr>
              <w:t>）</w:t>
            </w:r>
          </w:p>
        </w:tc>
        <w:tc>
          <w:tcPr>
            <w:tcW w:w="2976" w:type="dxa"/>
            <w:gridSpan w:val="2"/>
            <w:vAlign w:val="center"/>
          </w:tcPr>
          <w:p w:rsidR="00EE1516" w:rsidRPr="00EE1516" w:rsidRDefault="00EE1516" w:rsidP="00093B9E">
            <w:pPr>
              <w:ind w:firstLineChars="200" w:firstLine="480"/>
              <w:rPr>
                <w:rFonts w:ascii="仿宋_GB2312" w:eastAsia="仿宋_GB2312" w:hAnsi="仿宋"/>
                <w:sz w:val="24"/>
                <w:szCs w:val="24"/>
              </w:rPr>
            </w:pPr>
            <w:r w:rsidRPr="00EE1516">
              <w:rPr>
                <w:rFonts w:ascii="仿宋_GB2312" w:eastAsia="仿宋_GB2312" w:hAnsi="仿宋" w:hint="eastAsia"/>
                <w:sz w:val="24"/>
                <w:szCs w:val="24"/>
              </w:rPr>
              <w:t>博士研究生第1至第4学期，每学期应提交学期论文1篇，篇幅不少于8000字。</w:t>
            </w:r>
          </w:p>
          <w:p w:rsidR="00EE1516" w:rsidRPr="00EE1516" w:rsidRDefault="00EE1516" w:rsidP="00093B9E">
            <w:pPr>
              <w:ind w:firstLineChars="200" w:firstLine="482"/>
              <w:rPr>
                <w:rFonts w:ascii="仿宋_GB2312" w:eastAsia="仿宋_GB2312" w:hAnsi="仿宋"/>
                <w:b/>
                <w:sz w:val="24"/>
                <w:szCs w:val="24"/>
              </w:rPr>
            </w:pPr>
            <w:r w:rsidRPr="00EE1516">
              <w:rPr>
                <w:rFonts w:ascii="仿宋_GB2312" w:eastAsia="仿宋_GB2312" w:hAnsi="仿宋" w:hint="eastAsia"/>
                <w:b/>
                <w:sz w:val="24"/>
                <w:szCs w:val="24"/>
              </w:rPr>
              <w:t>博士研究生在申请学位前，应以中国政法大学为唯一作者单位、博士研究生本人为第一作者或独立作者，发表2篇或以上与本人专业相关的核心期刊学术论文，每篇字数不少于5000汉字或4000外文单词。</w:t>
            </w:r>
          </w:p>
          <w:p w:rsidR="00EE1516" w:rsidRPr="00EE1516" w:rsidRDefault="00EE1516" w:rsidP="00093B9E">
            <w:pPr>
              <w:ind w:firstLineChars="200" w:firstLine="480"/>
              <w:rPr>
                <w:rFonts w:ascii="仿宋_GB2312" w:eastAsia="仿宋_GB2312" w:hAnsi="仿宋"/>
                <w:sz w:val="24"/>
                <w:szCs w:val="24"/>
              </w:rPr>
            </w:pPr>
            <w:r w:rsidRPr="00EE1516">
              <w:rPr>
                <w:rFonts w:ascii="仿宋_GB2312" w:eastAsia="仿宋_GB2312" w:hAnsi="仿宋" w:hint="eastAsia"/>
                <w:sz w:val="24"/>
                <w:szCs w:val="24"/>
              </w:rPr>
              <w:t>核心期刊论文依据《中国政法大学科研管理典》的相关规定认定，由研究生院培养办公室审核。</w:t>
            </w:r>
          </w:p>
        </w:tc>
        <w:tc>
          <w:tcPr>
            <w:tcW w:w="709" w:type="dxa"/>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2</w:t>
            </w:r>
          </w:p>
        </w:tc>
        <w:tc>
          <w:tcPr>
            <w:tcW w:w="709" w:type="dxa"/>
            <w:vMerge/>
            <w:vAlign w:val="center"/>
          </w:tcPr>
          <w:p w:rsidR="00EE1516" w:rsidRPr="00EE1516" w:rsidRDefault="00EE1516" w:rsidP="00093B9E">
            <w:pPr>
              <w:ind w:left="-57" w:right="-57"/>
              <w:jc w:val="center"/>
              <w:rPr>
                <w:rFonts w:ascii="仿宋_GB2312" w:eastAsia="仿宋_GB2312" w:hAnsi="仿宋"/>
                <w:sz w:val="24"/>
                <w:szCs w:val="24"/>
              </w:rPr>
            </w:pPr>
          </w:p>
        </w:tc>
        <w:tc>
          <w:tcPr>
            <w:tcW w:w="850" w:type="dxa"/>
            <w:vMerge/>
            <w:vAlign w:val="center"/>
          </w:tcPr>
          <w:p w:rsidR="00EE1516" w:rsidRPr="00EE1516" w:rsidRDefault="00EE1516" w:rsidP="00093B9E">
            <w:pPr>
              <w:spacing w:line="240" w:lineRule="atLeast"/>
              <w:ind w:right="-57"/>
              <w:jc w:val="center"/>
              <w:rPr>
                <w:rFonts w:ascii="仿宋_GB2312" w:eastAsia="仿宋_GB2312" w:hAnsi="仿宋"/>
                <w:sz w:val="24"/>
                <w:szCs w:val="24"/>
              </w:rPr>
            </w:pPr>
          </w:p>
        </w:tc>
        <w:tc>
          <w:tcPr>
            <w:tcW w:w="851" w:type="dxa"/>
            <w:vMerge/>
            <w:vAlign w:val="center"/>
          </w:tcPr>
          <w:p w:rsidR="00EE1516" w:rsidRPr="00EE1516" w:rsidRDefault="00EE1516" w:rsidP="00093B9E">
            <w:pPr>
              <w:spacing w:line="240" w:lineRule="atLeast"/>
              <w:ind w:leftChars="-27" w:left="-57" w:right="-57"/>
              <w:jc w:val="center"/>
              <w:rPr>
                <w:rFonts w:ascii="仿宋_GB2312" w:eastAsia="仿宋_GB2312" w:hAnsi="仿宋"/>
                <w:sz w:val="24"/>
                <w:szCs w:val="24"/>
              </w:rPr>
            </w:pPr>
          </w:p>
        </w:tc>
        <w:tc>
          <w:tcPr>
            <w:tcW w:w="850" w:type="dxa"/>
            <w:vMerge/>
            <w:vAlign w:val="center"/>
          </w:tcPr>
          <w:p w:rsidR="00EE1516" w:rsidRPr="00EE1516" w:rsidRDefault="00EE1516" w:rsidP="00093B9E">
            <w:pPr>
              <w:spacing w:line="240" w:lineRule="atLeast"/>
              <w:ind w:right="-57"/>
              <w:jc w:val="center"/>
              <w:rPr>
                <w:rFonts w:ascii="仿宋_GB2312" w:eastAsia="仿宋_GB2312" w:hAnsi="仿宋"/>
                <w:spacing w:val="-10"/>
                <w:sz w:val="24"/>
                <w:szCs w:val="24"/>
              </w:rPr>
            </w:pPr>
          </w:p>
        </w:tc>
        <w:tc>
          <w:tcPr>
            <w:tcW w:w="1940" w:type="dxa"/>
            <w:vMerge/>
            <w:vAlign w:val="center"/>
          </w:tcPr>
          <w:p w:rsidR="00EE1516" w:rsidRPr="00EE1516" w:rsidRDefault="00EE1516" w:rsidP="00093B9E">
            <w:pPr>
              <w:spacing w:line="400" w:lineRule="exact"/>
              <w:ind w:leftChars="-27" w:left="-57" w:right="-57"/>
              <w:jc w:val="left"/>
              <w:rPr>
                <w:rFonts w:ascii="仿宋_GB2312" w:eastAsia="仿宋_GB2312" w:hAnsi="仿宋"/>
                <w:spacing w:val="-8"/>
                <w:sz w:val="24"/>
                <w:szCs w:val="24"/>
              </w:rPr>
            </w:pPr>
          </w:p>
        </w:tc>
      </w:tr>
      <w:tr w:rsidR="00EE1516" w:rsidRPr="00EE1516" w:rsidTr="00093B9E">
        <w:trPr>
          <w:cantSplit/>
          <w:trHeight w:val="648"/>
          <w:jc w:val="center"/>
        </w:trPr>
        <w:tc>
          <w:tcPr>
            <w:tcW w:w="1603" w:type="dxa"/>
            <w:gridSpan w:val="2"/>
            <w:vMerge/>
            <w:vAlign w:val="center"/>
          </w:tcPr>
          <w:p w:rsidR="00EE1516" w:rsidRPr="00EE1516" w:rsidRDefault="00EE1516" w:rsidP="00093B9E">
            <w:pPr>
              <w:spacing w:line="240" w:lineRule="atLeast"/>
              <w:jc w:val="center"/>
              <w:rPr>
                <w:rFonts w:ascii="仿宋_GB2312" w:eastAsia="仿宋_GB2312" w:hAnsi="仿宋"/>
                <w:sz w:val="24"/>
                <w:szCs w:val="24"/>
              </w:rPr>
            </w:pPr>
          </w:p>
        </w:tc>
        <w:tc>
          <w:tcPr>
            <w:tcW w:w="3248" w:type="dxa"/>
            <w:vAlign w:val="center"/>
          </w:tcPr>
          <w:p w:rsidR="00EE1516" w:rsidRPr="00EE1516" w:rsidRDefault="00EE1516" w:rsidP="00093B9E">
            <w:pPr>
              <w:spacing w:line="240" w:lineRule="atLeast"/>
              <w:ind w:leftChars="-27" w:left="-57" w:right="-57"/>
              <w:jc w:val="center"/>
              <w:rPr>
                <w:rFonts w:ascii="仿宋_GB2312" w:eastAsia="仿宋_GB2312" w:hAnsi="仿宋"/>
                <w:sz w:val="24"/>
                <w:szCs w:val="24"/>
              </w:rPr>
            </w:pPr>
            <w:r w:rsidRPr="00EE1516">
              <w:rPr>
                <w:rFonts w:ascii="仿宋_GB2312" w:eastAsia="仿宋_GB2312" w:hAnsi="仿宋" w:hint="eastAsia"/>
                <w:sz w:val="24"/>
                <w:szCs w:val="24"/>
              </w:rPr>
              <w:t>3.课题研究</w:t>
            </w:r>
          </w:p>
          <w:p w:rsidR="00EE1516" w:rsidRPr="00EE1516" w:rsidRDefault="00EE1516" w:rsidP="00093B9E">
            <w:pPr>
              <w:spacing w:line="240" w:lineRule="atLeast"/>
              <w:ind w:leftChars="-27" w:left="-57" w:right="-57"/>
              <w:jc w:val="center"/>
              <w:rPr>
                <w:rFonts w:ascii="仿宋_GB2312" w:eastAsia="仿宋_GB2312" w:hAnsi="仿宋"/>
                <w:sz w:val="24"/>
                <w:szCs w:val="24"/>
              </w:rPr>
            </w:pPr>
            <w:r w:rsidRPr="00EE1516">
              <w:rPr>
                <w:rFonts w:ascii="仿宋_GB2312" w:eastAsia="仿宋_GB2312" w:hAnsi="仿宋" w:hint="eastAsia"/>
                <w:sz w:val="24"/>
                <w:szCs w:val="24"/>
              </w:rPr>
              <w:t>（导师考核）</w:t>
            </w:r>
          </w:p>
        </w:tc>
        <w:tc>
          <w:tcPr>
            <w:tcW w:w="2976" w:type="dxa"/>
            <w:gridSpan w:val="2"/>
            <w:vAlign w:val="center"/>
          </w:tcPr>
          <w:p w:rsidR="00EE1516" w:rsidRPr="00EE1516" w:rsidRDefault="00EE1516" w:rsidP="00093B9E">
            <w:pPr>
              <w:ind w:firstLineChars="200" w:firstLine="480"/>
              <w:rPr>
                <w:rFonts w:ascii="仿宋_GB2312" w:eastAsia="仿宋_GB2312" w:hAnsi="仿宋"/>
                <w:sz w:val="24"/>
                <w:szCs w:val="24"/>
              </w:rPr>
            </w:pPr>
            <w:r w:rsidRPr="00EE1516">
              <w:rPr>
                <w:rFonts w:ascii="仿宋_GB2312" w:eastAsia="仿宋_GB2312" w:hAnsi="仿宋" w:hint="eastAsia"/>
                <w:sz w:val="24"/>
                <w:szCs w:val="24"/>
              </w:rPr>
              <w:t>博士研究生参加导师的科研项目、学校其他科研项目、实践部门科研项目，以及学院自设的科研项目等课题研究，持续时间达2学期，并提交相应的科研成果作为考核依据，计2学分。</w:t>
            </w:r>
          </w:p>
          <w:p w:rsidR="00EE1516" w:rsidRPr="00EE1516" w:rsidRDefault="00EE1516" w:rsidP="00093B9E">
            <w:pPr>
              <w:ind w:left="-57" w:right="-57" w:firstLineChars="200" w:firstLine="480"/>
              <w:rPr>
                <w:rFonts w:ascii="仿宋_GB2312" w:eastAsia="仿宋_GB2312" w:hAnsi="仿宋"/>
                <w:sz w:val="24"/>
                <w:szCs w:val="24"/>
              </w:rPr>
            </w:pPr>
            <w:r w:rsidRPr="00EE1516">
              <w:rPr>
                <w:rFonts w:ascii="仿宋_GB2312" w:eastAsia="仿宋_GB2312" w:hAnsi="仿宋" w:hint="eastAsia"/>
                <w:sz w:val="24"/>
                <w:szCs w:val="24"/>
              </w:rPr>
              <w:t>在学期间主持中国政法大学研究生创新基金项目的，每项计2学分；参加研究生创新基金项目的，每项计1学分。</w:t>
            </w:r>
          </w:p>
        </w:tc>
        <w:tc>
          <w:tcPr>
            <w:tcW w:w="709" w:type="dxa"/>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2</w:t>
            </w:r>
          </w:p>
        </w:tc>
        <w:tc>
          <w:tcPr>
            <w:tcW w:w="709" w:type="dxa"/>
            <w:vMerge/>
            <w:vAlign w:val="center"/>
          </w:tcPr>
          <w:p w:rsidR="00EE1516" w:rsidRPr="00EE1516" w:rsidRDefault="00EE1516" w:rsidP="00093B9E">
            <w:pPr>
              <w:ind w:left="-57" w:right="-57"/>
              <w:jc w:val="center"/>
              <w:rPr>
                <w:rFonts w:ascii="仿宋_GB2312" w:eastAsia="仿宋_GB2312" w:hAnsi="仿宋"/>
                <w:sz w:val="24"/>
                <w:szCs w:val="24"/>
              </w:rPr>
            </w:pPr>
          </w:p>
        </w:tc>
        <w:tc>
          <w:tcPr>
            <w:tcW w:w="850" w:type="dxa"/>
            <w:vMerge/>
            <w:vAlign w:val="center"/>
          </w:tcPr>
          <w:p w:rsidR="00EE1516" w:rsidRPr="00EE1516" w:rsidRDefault="00EE1516" w:rsidP="00093B9E">
            <w:pPr>
              <w:spacing w:line="240" w:lineRule="atLeast"/>
              <w:ind w:right="-57"/>
              <w:jc w:val="center"/>
              <w:rPr>
                <w:rFonts w:ascii="仿宋_GB2312" w:eastAsia="仿宋_GB2312" w:hAnsi="仿宋"/>
                <w:sz w:val="24"/>
                <w:szCs w:val="24"/>
              </w:rPr>
            </w:pPr>
          </w:p>
        </w:tc>
        <w:tc>
          <w:tcPr>
            <w:tcW w:w="851" w:type="dxa"/>
            <w:vMerge/>
            <w:vAlign w:val="center"/>
          </w:tcPr>
          <w:p w:rsidR="00EE1516" w:rsidRPr="00EE1516" w:rsidRDefault="00EE1516" w:rsidP="00093B9E">
            <w:pPr>
              <w:spacing w:line="240" w:lineRule="atLeast"/>
              <w:ind w:leftChars="-27" w:left="-57" w:right="-57"/>
              <w:jc w:val="center"/>
              <w:rPr>
                <w:rFonts w:ascii="仿宋_GB2312" w:eastAsia="仿宋_GB2312" w:hAnsi="仿宋"/>
                <w:sz w:val="24"/>
                <w:szCs w:val="24"/>
              </w:rPr>
            </w:pPr>
          </w:p>
        </w:tc>
        <w:tc>
          <w:tcPr>
            <w:tcW w:w="850" w:type="dxa"/>
            <w:vMerge/>
            <w:vAlign w:val="center"/>
          </w:tcPr>
          <w:p w:rsidR="00EE1516" w:rsidRPr="00EE1516" w:rsidRDefault="00EE1516" w:rsidP="00093B9E">
            <w:pPr>
              <w:spacing w:line="240" w:lineRule="atLeast"/>
              <w:ind w:right="-57"/>
              <w:jc w:val="center"/>
              <w:rPr>
                <w:rFonts w:ascii="仿宋_GB2312" w:eastAsia="仿宋_GB2312" w:hAnsi="仿宋"/>
                <w:spacing w:val="-10"/>
                <w:sz w:val="24"/>
                <w:szCs w:val="24"/>
              </w:rPr>
            </w:pPr>
          </w:p>
        </w:tc>
        <w:tc>
          <w:tcPr>
            <w:tcW w:w="1940" w:type="dxa"/>
            <w:vMerge/>
            <w:vAlign w:val="center"/>
          </w:tcPr>
          <w:p w:rsidR="00EE1516" w:rsidRPr="00EE1516" w:rsidRDefault="00EE1516" w:rsidP="00093B9E">
            <w:pPr>
              <w:spacing w:line="400" w:lineRule="exact"/>
              <w:ind w:leftChars="-27" w:left="-57" w:right="-57"/>
              <w:jc w:val="left"/>
              <w:rPr>
                <w:rFonts w:ascii="仿宋_GB2312" w:eastAsia="仿宋_GB2312" w:hAnsi="仿宋"/>
                <w:spacing w:val="-8"/>
                <w:sz w:val="24"/>
                <w:szCs w:val="24"/>
              </w:rPr>
            </w:pPr>
          </w:p>
        </w:tc>
      </w:tr>
      <w:tr w:rsidR="00EE1516" w:rsidRPr="00EE1516" w:rsidTr="00093B9E">
        <w:trPr>
          <w:cantSplit/>
          <w:trHeight w:val="648"/>
          <w:jc w:val="center"/>
        </w:trPr>
        <w:tc>
          <w:tcPr>
            <w:tcW w:w="1603" w:type="dxa"/>
            <w:gridSpan w:val="2"/>
            <w:vMerge/>
            <w:vAlign w:val="center"/>
          </w:tcPr>
          <w:p w:rsidR="00EE1516" w:rsidRPr="00EE1516" w:rsidRDefault="00EE1516" w:rsidP="00093B9E">
            <w:pPr>
              <w:spacing w:line="240" w:lineRule="atLeast"/>
              <w:jc w:val="center"/>
              <w:rPr>
                <w:rFonts w:ascii="仿宋_GB2312" w:eastAsia="仿宋_GB2312" w:hAnsi="仿宋"/>
                <w:sz w:val="24"/>
                <w:szCs w:val="24"/>
              </w:rPr>
            </w:pPr>
          </w:p>
        </w:tc>
        <w:tc>
          <w:tcPr>
            <w:tcW w:w="3248" w:type="dxa"/>
            <w:vAlign w:val="center"/>
          </w:tcPr>
          <w:p w:rsidR="00EE1516" w:rsidRPr="00EE1516" w:rsidRDefault="00EE1516" w:rsidP="00093B9E">
            <w:pPr>
              <w:spacing w:line="240" w:lineRule="atLeast"/>
              <w:ind w:leftChars="-27" w:left="-57" w:right="-57"/>
              <w:jc w:val="center"/>
              <w:rPr>
                <w:rFonts w:ascii="仿宋_GB2312" w:eastAsia="仿宋_GB2312" w:hAnsi="仿宋"/>
                <w:sz w:val="24"/>
                <w:szCs w:val="24"/>
              </w:rPr>
            </w:pPr>
            <w:r w:rsidRPr="00EE1516">
              <w:rPr>
                <w:rFonts w:ascii="仿宋_GB2312" w:eastAsia="仿宋_GB2312" w:hAnsi="仿宋" w:hint="eastAsia"/>
                <w:sz w:val="24"/>
                <w:szCs w:val="24"/>
              </w:rPr>
              <w:t>4．教学实习</w:t>
            </w:r>
          </w:p>
          <w:p w:rsidR="00EE1516" w:rsidRPr="00EE1516" w:rsidRDefault="00EE1516" w:rsidP="00093B9E">
            <w:pPr>
              <w:spacing w:line="240" w:lineRule="atLeast"/>
              <w:ind w:leftChars="-27" w:left="-57" w:right="-57"/>
              <w:jc w:val="center"/>
              <w:rPr>
                <w:rFonts w:ascii="仿宋_GB2312" w:eastAsia="仿宋_GB2312" w:hAnsi="仿宋"/>
                <w:sz w:val="24"/>
                <w:szCs w:val="24"/>
              </w:rPr>
            </w:pPr>
            <w:r w:rsidRPr="00EE1516">
              <w:rPr>
                <w:rFonts w:ascii="仿宋_GB2312" w:eastAsia="仿宋_GB2312" w:hAnsi="仿宋" w:hint="eastAsia"/>
                <w:sz w:val="24"/>
                <w:szCs w:val="24"/>
              </w:rPr>
              <w:t>（导师考核）</w:t>
            </w:r>
          </w:p>
        </w:tc>
        <w:tc>
          <w:tcPr>
            <w:tcW w:w="2976" w:type="dxa"/>
            <w:gridSpan w:val="2"/>
            <w:vAlign w:val="center"/>
          </w:tcPr>
          <w:p w:rsidR="00EE1516" w:rsidRPr="00EE1516" w:rsidRDefault="00EE1516" w:rsidP="00093B9E">
            <w:pPr>
              <w:ind w:firstLineChars="200" w:firstLine="480"/>
              <w:rPr>
                <w:rFonts w:ascii="仿宋_GB2312" w:eastAsia="仿宋_GB2312" w:hAnsi="仿宋"/>
                <w:sz w:val="24"/>
                <w:szCs w:val="24"/>
              </w:rPr>
            </w:pPr>
            <w:r w:rsidRPr="00EE1516">
              <w:rPr>
                <w:rFonts w:ascii="仿宋_GB2312" w:eastAsia="仿宋_GB2312" w:hAnsi="仿宋" w:hint="eastAsia"/>
                <w:sz w:val="24"/>
                <w:szCs w:val="24"/>
              </w:rPr>
              <w:t>教学实习是博士研究生接受教学科研基本训练和科研成果转化的形式之一。博士研究生应当担任不少于1门课程的教授助手工作，完成教学实习的，导师负责考核，计2学分。</w:t>
            </w:r>
          </w:p>
        </w:tc>
        <w:tc>
          <w:tcPr>
            <w:tcW w:w="709" w:type="dxa"/>
            <w:vAlign w:val="center"/>
          </w:tcPr>
          <w:p w:rsidR="00EE1516" w:rsidRPr="00EE1516" w:rsidRDefault="00EE1516" w:rsidP="00093B9E">
            <w:pPr>
              <w:ind w:left="-57" w:right="-57"/>
              <w:jc w:val="center"/>
              <w:rPr>
                <w:rFonts w:ascii="仿宋_GB2312" w:eastAsia="仿宋_GB2312" w:hAnsi="仿宋"/>
                <w:sz w:val="24"/>
                <w:szCs w:val="24"/>
              </w:rPr>
            </w:pPr>
            <w:r w:rsidRPr="00EE1516">
              <w:rPr>
                <w:rFonts w:ascii="仿宋_GB2312" w:eastAsia="仿宋_GB2312" w:hAnsi="仿宋" w:hint="eastAsia"/>
                <w:sz w:val="24"/>
                <w:szCs w:val="24"/>
              </w:rPr>
              <w:t>2</w:t>
            </w:r>
          </w:p>
        </w:tc>
        <w:tc>
          <w:tcPr>
            <w:tcW w:w="709" w:type="dxa"/>
            <w:vMerge/>
            <w:vAlign w:val="center"/>
          </w:tcPr>
          <w:p w:rsidR="00EE1516" w:rsidRPr="00EE1516" w:rsidRDefault="00EE1516" w:rsidP="00093B9E">
            <w:pPr>
              <w:ind w:left="-57" w:right="-57"/>
              <w:jc w:val="center"/>
              <w:rPr>
                <w:rFonts w:ascii="仿宋_GB2312" w:eastAsia="仿宋_GB2312" w:hAnsi="仿宋"/>
                <w:sz w:val="24"/>
                <w:szCs w:val="24"/>
              </w:rPr>
            </w:pPr>
          </w:p>
        </w:tc>
        <w:tc>
          <w:tcPr>
            <w:tcW w:w="850" w:type="dxa"/>
            <w:vMerge/>
            <w:vAlign w:val="center"/>
          </w:tcPr>
          <w:p w:rsidR="00EE1516" w:rsidRPr="00EE1516" w:rsidRDefault="00EE1516" w:rsidP="00093B9E">
            <w:pPr>
              <w:spacing w:line="240" w:lineRule="atLeast"/>
              <w:ind w:right="-57"/>
              <w:jc w:val="center"/>
              <w:rPr>
                <w:rFonts w:ascii="仿宋_GB2312" w:eastAsia="仿宋_GB2312" w:hAnsi="仿宋"/>
                <w:sz w:val="24"/>
                <w:szCs w:val="24"/>
              </w:rPr>
            </w:pPr>
          </w:p>
        </w:tc>
        <w:tc>
          <w:tcPr>
            <w:tcW w:w="851" w:type="dxa"/>
            <w:vMerge/>
            <w:vAlign w:val="center"/>
          </w:tcPr>
          <w:p w:rsidR="00EE1516" w:rsidRPr="00EE1516" w:rsidRDefault="00EE1516" w:rsidP="00093B9E">
            <w:pPr>
              <w:spacing w:line="240" w:lineRule="atLeast"/>
              <w:ind w:leftChars="-27" w:left="-57" w:right="-57"/>
              <w:jc w:val="center"/>
              <w:rPr>
                <w:rFonts w:ascii="仿宋_GB2312" w:eastAsia="仿宋_GB2312" w:hAnsi="仿宋"/>
                <w:sz w:val="24"/>
                <w:szCs w:val="24"/>
              </w:rPr>
            </w:pPr>
          </w:p>
        </w:tc>
        <w:tc>
          <w:tcPr>
            <w:tcW w:w="850" w:type="dxa"/>
            <w:vMerge/>
            <w:vAlign w:val="center"/>
          </w:tcPr>
          <w:p w:rsidR="00EE1516" w:rsidRPr="00EE1516" w:rsidRDefault="00EE1516" w:rsidP="00093B9E">
            <w:pPr>
              <w:spacing w:line="240" w:lineRule="atLeast"/>
              <w:ind w:right="-57"/>
              <w:jc w:val="center"/>
              <w:rPr>
                <w:rFonts w:ascii="仿宋_GB2312" w:eastAsia="仿宋_GB2312" w:hAnsi="仿宋"/>
                <w:spacing w:val="-10"/>
                <w:sz w:val="24"/>
                <w:szCs w:val="24"/>
              </w:rPr>
            </w:pPr>
          </w:p>
        </w:tc>
        <w:tc>
          <w:tcPr>
            <w:tcW w:w="1940" w:type="dxa"/>
            <w:vMerge/>
            <w:vAlign w:val="center"/>
          </w:tcPr>
          <w:p w:rsidR="00EE1516" w:rsidRPr="00EE1516" w:rsidRDefault="00EE1516" w:rsidP="00093B9E">
            <w:pPr>
              <w:spacing w:line="400" w:lineRule="exact"/>
              <w:ind w:leftChars="-27" w:left="-57" w:right="-57"/>
              <w:jc w:val="left"/>
              <w:rPr>
                <w:rFonts w:ascii="仿宋_GB2312" w:eastAsia="仿宋_GB2312" w:hAnsi="仿宋"/>
                <w:spacing w:val="-8"/>
                <w:sz w:val="24"/>
                <w:szCs w:val="24"/>
              </w:rPr>
            </w:pPr>
          </w:p>
        </w:tc>
      </w:tr>
      <w:tr w:rsidR="00EE1516" w:rsidRPr="00EE1516" w:rsidTr="00093B9E">
        <w:trPr>
          <w:cantSplit/>
          <w:trHeight w:val="836"/>
          <w:jc w:val="center"/>
        </w:trPr>
        <w:tc>
          <w:tcPr>
            <w:tcW w:w="1603" w:type="dxa"/>
            <w:gridSpan w:val="2"/>
            <w:vAlign w:val="center"/>
          </w:tcPr>
          <w:p w:rsidR="00EE1516" w:rsidRPr="00EE1516" w:rsidRDefault="00EE1516" w:rsidP="00093B9E">
            <w:pPr>
              <w:spacing w:line="240" w:lineRule="atLeast"/>
              <w:jc w:val="center"/>
              <w:rPr>
                <w:rFonts w:ascii="仿宋_GB2312" w:eastAsia="仿宋_GB2312" w:hAnsi="仿宋"/>
                <w:sz w:val="24"/>
                <w:szCs w:val="24"/>
              </w:rPr>
            </w:pPr>
            <w:r w:rsidRPr="00EE1516">
              <w:rPr>
                <w:rFonts w:ascii="仿宋_GB2312" w:eastAsia="仿宋_GB2312" w:hAnsi="仿宋" w:hint="eastAsia"/>
                <w:sz w:val="24"/>
                <w:szCs w:val="24"/>
              </w:rPr>
              <w:t>合计</w:t>
            </w:r>
          </w:p>
        </w:tc>
        <w:tc>
          <w:tcPr>
            <w:tcW w:w="3248" w:type="dxa"/>
            <w:vAlign w:val="center"/>
          </w:tcPr>
          <w:p w:rsidR="00EE1516" w:rsidRPr="00EE1516" w:rsidRDefault="00EE1516" w:rsidP="00093B9E">
            <w:pPr>
              <w:spacing w:line="240" w:lineRule="atLeast"/>
              <w:ind w:leftChars="-27" w:left="-57" w:right="-57" w:firstLineChars="200" w:firstLine="480"/>
              <w:jc w:val="center"/>
              <w:rPr>
                <w:rFonts w:ascii="仿宋_GB2312" w:eastAsia="仿宋_GB2312" w:hAnsi="仿宋"/>
                <w:sz w:val="24"/>
                <w:szCs w:val="24"/>
              </w:rPr>
            </w:pPr>
          </w:p>
        </w:tc>
        <w:tc>
          <w:tcPr>
            <w:tcW w:w="2976" w:type="dxa"/>
            <w:gridSpan w:val="2"/>
            <w:vAlign w:val="center"/>
          </w:tcPr>
          <w:p w:rsidR="00EE1516" w:rsidRPr="00EE1516" w:rsidRDefault="00EE1516" w:rsidP="00093B9E">
            <w:pPr>
              <w:spacing w:line="240" w:lineRule="atLeast"/>
              <w:ind w:right="-57"/>
              <w:jc w:val="center"/>
              <w:rPr>
                <w:rFonts w:ascii="仿宋_GB2312" w:eastAsia="仿宋_GB2312" w:hAnsi="仿宋"/>
                <w:sz w:val="24"/>
                <w:szCs w:val="24"/>
              </w:rPr>
            </w:pPr>
          </w:p>
        </w:tc>
        <w:tc>
          <w:tcPr>
            <w:tcW w:w="709" w:type="dxa"/>
            <w:vAlign w:val="center"/>
          </w:tcPr>
          <w:p w:rsidR="00EE1516" w:rsidRPr="00EE1516" w:rsidRDefault="00EE1516" w:rsidP="00093B9E">
            <w:pPr>
              <w:spacing w:line="240" w:lineRule="atLeast"/>
              <w:ind w:right="-57"/>
              <w:jc w:val="center"/>
              <w:rPr>
                <w:rFonts w:ascii="仿宋_GB2312" w:eastAsia="仿宋_GB2312" w:hAnsi="仿宋"/>
                <w:sz w:val="24"/>
                <w:szCs w:val="24"/>
              </w:rPr>
            </w:pPr>
          </w:p>
        </w:tc>
        <w:tc>
          <w:tcPr>
            <w:tcW w:w="709" w:type="dxa"/>
            <w:vAlign w:val="center"/>
          </w:tcPr>
          <w:p w:rsidR="00EE1516" w:rsidRPr="00EE1516" w:rsidRDefault="00EE1516" w:rsidP="00093B9E">
            <w:pPr>
              <w:spacing w:line="240" w:lineRule="atLeast"/>
              <w:ind w:right="-57"/>
              <w:jc w:val="center"/>
              <w:rPr>
                <w:rFonts w:ascii="仿宋_GB2312" w:eastAsia="仿宋_GB2312" w:hAnsi="仿宋"/>
                <w:sz w:val="24"/>
                <w:szCs w:val="24"/>
              </w:rPr>
            </w:pPr>
          </w:p>
        </w:tc>
        <w:tc>
          <w:tcPr>
            <w:tcW w:w="850" w:type="dxa"/>
            <w:vAlign w:val="center"/>
          </w:tcPr>
          <w:p w:rsidR="00EE1516" w:rsidRPr="00EE1516" w:rsidRDefault="00EE1516" w:rsidP="00093B9E">
            <w:pPr>
              <w:spacing w:line="240" w:lineRule="atLeast"/>
              <w:ind w:right="-57"/>
              <w:jc w:val="center"/>
              <w:rPr>
                <w:rFonts w:ascii="仿宋_GB2312" w:eastAsia="仿宋_GB2312" w:hAnsi="仿宋"/>
                <w:sz w:val="24"/>
                <w:szCs w:val="24"/>
              </w:rPr>
            </w:pPr>
          </w:p>
        </w:tc>
        <w:tc>
          <w:tcPr>
            <w:tcW w:w="851" w:type="dxa"/>
            <w:vAlign w:val="center"/>
          </w:tcPr>
          <w:p w:rsidR="00EE1516" w:rsidRPr="00EE1516" w:rsidRDefault="00EE1516" w:rsidP="00093B9E">
            <w:pPr>
              <w:spacing w:line="240" w:lineRule="atLeast"/>
              <w:ind w:leftChars="-27" w:left="-57" w:right="-57"/>
              <w:jc w:val="center"/>
              <w:rPr>
                <w:rFonts w:ascii="仿宋_GB2312" w:eastAsia="仿宋_GB2312" w:hAnsi="仿宋"/>
                <w:sz w:val="24"/>
                <w:szCs w:val="24"/>
              </w:rPr>
            </w:pPr>
          </w:p>
        </w:tc>
        <w:tc>
          <w:tcPr>
            <w:tcW w:w="850" w:type="dxa"/>
            <w:vAlign w:val="center"/>
          </w:tcPr>
          <w:p w:rsidR="00EE1516" w:rsidRPr="00EE1516" w:rsidRDefault="00EE1516" w:rsidP="00093B9E">
            <w:pPr>
              <w:spacing w:line="240" w:lineRule="atLeast"/>
              <w:ind w:right="-57"/>
              <w:jc w:val="center"/>
              <w:rPr>
                <w:rFonts w:ascii="仿宋_GB2312" w:eastAsia="仿宋_GB2312" w:hAnsi="仿宋"/>
                <w:sz w:val="24"/>
                <w:szCs w:val="24"/>
              </w:rPr>
            </w:pPr>
          </w:p>
        </w:tc>
        <w:tc>
          <w:tcPr>
            <w:tcW w:w="1940" w:type="dxa"/>
            <w:vAlign w:val="center"/>
          </w:tcPr>
          <w:p w:rsidR="00EE1516" w:rsidRPr="00EE1516" w:rsidRDefault="00EE1516" w:rsidP="00093B9E">
            <w:pPr>
              <w:spacing w:line="240" w:lineRule="atLeast"/>
              <w:ind w:right="-57"/>
              <w:jc w:val="left"/>
              <w:rPr>
                <w:rFonts w:ascii="仿宋_GB2312" w:eastAsia="仿宋_GB2312" w:hAnsi="仿宋"/>
                <w:sz w:val="24"/>
                <w:szCs w:val="24"/>
              </w:rPr>
            </w:pPr>
            <w:r w:rsidRPr="00EE1516">
              <w:rPr>
                <w:rFonts w:ascii="仿宋_GB2312" w:eastAsia="仿宋_GB2312" w:hAnsi="仿宋" w:hint="eastAsia"/>
                <w:sz w:val="24"/>
                <w:szCs w:val="24"/>
              </w:rPr>
              <w:t>总计不少于21学分。</w:t>
            </w:r>
          </w:p>
          <w:p w:rsidR="00EE1516" w:rsidRPr="00EE1516" w:rsidRDefault="00EE1516" w:rsidP="00093B9E">
            <w:pPr>
              <w:spacing w:line="240" w:lineRule="atLeast"/>
              <w:ind w:right="-57"/>
              <w:jc w:val="left"/>
              <w:rPr>
                <w:rFonts w:ascii="仿宋_GB2312" w:eastAsia="仿宋_GB2312" w:hAnsi="仿宋"/>
                <w:sz w:val="24"/>
                <w:szCs w:val="24"/>
              </w:rPr>
            </w:pPr>
            <w:r w:rsidRPr="00EE1516">
              <w:rPr>
                <w:rFonts w:ascii="仿宋_GB2312" w:eastAsia="仿宋_GB2312" w:hAnsi="仿宋" w:hint="eastAsia"/>
                <w:sz w:val="24"/>
                <w:szCs w:val="24"/>
              </w:rPr>
              <w:t>跨学科、同等学力博士研究生不少于25学分。</w:t>
            </w:r>
          </w:p>
        </w:tc>
      </w:tr>
    </w:tbl>
    <w:p w:rsidR="00EE1516" w:rsidRPr="00EE1516" w:rsidRDefault="00EE1516" w:rsidP="00EE1516">
      <w:pPr>
        <w:rPr>
          <w:rFonts w:ascii="仿宋" w:eastAsia="仿宋" w:hAnsi="仿宋"/>
          <w:sz w:val="24"/>
          <w:szCs w:val="24"/>
        </w:rPr>
      </w:pPr>
    </w:p>
    <w:p w:rsidR="00EE1516" w:rsidRPr="00EE1516" w:rsidRDefault="00EE1516" w:rsidP="00EE1516"/>
    <w:p w:rsidR="00D37A74" w:rsidRPr="00EE1516" w:rsidRDefault="00D37A74"/>
    <w:sectPr w:rsidR="00D37A74" w:rsidRPr="00EE1516" w:rsidSect="001625CB">
      <w:pgSz w:w="16838" w:h="11906" w:orient="landscape" w:code="9"/>
      <w:pgMar w:top="992" w:right="1440" w:bottom="851" w:left="1440"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5B" w:rsidRDefault="00D86C5B" w:rsidP="005957E6">
      <w:r>
        <w:separator/>
      </w:r>
    </w:p>
  </w:endnote>
  <w:endnote w:type="continuationSeparator" w:id="0">
    <w:p w:rsidR="00D86C5B" w:rsidRDefault="00D86C5B" w:rsidP="0059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5B" w:rsidRDefault="00D86C5B" w:rsidP="005957E6">
      <w:r>
        <w:separator/>
      </w:r>
    </w:p>
  </w:footnote>
  <w:footnote w:type="continuationSeparator" w:id="0">
    <w:p w:rsidR="00D86C5B" w:rsidRDefault="00D86C5B" w:rsidP="00595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F"/>
    <w:lvl w:ilvl="0">
      <w:start w:val="1"/>
      <w:numFmt w:val="decimal"/>
      <w:lvlText w:val="%1."/>
      <w:lvlJc w:val="left"/>
      <w:pPr>
        <w:tabs>
          <w:tab w:val="num" w:pos="960"/>
        </w:tabs>
        <w:ind w:left="960"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 w15:restartNumberingAfterBreak="0">
    <w:nsid w:val="06662B73"/>
    <w:multiLevelType w:val="multilevel"/>
    <w:tmpl w:val="0000001F"/>
    <w:lvl w:ilvl="0">
      <w:start w:val="1"/>
      <w:numFmt w:val="decimal"/>
      <w:lvlText w:val="%1."/>
      <w:lvlJc w:val="left"/>
      <w:pPr>
        <w:tabs>
          <w:tab w:val="num" w:pos="960"/>
        </w:tabs>
        <w:ind w:left="960" w:hanging="42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66"/>
    <w:rsid w:val="0053528C"/>
    <w:rsid w:val="005957E6"/>
    <w:rsid w:val="005C70D6"/>
    <w:rsid w:val="009A3466"/>
    <w:rsid w:val="00BC19D7"/>
    <w:rsid w:val="00D357BA"/>
    <w:rsid w:val="00D37A74"/>
    <w:rsid w:val="00D5322B"/>
    <w:rsid w:val="00D86C5B"/>
    <w:rsid w:val="00EE1516"/>
    <w:rsid w:val="00FE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D4ABD-30E2-4F49-9300-35811016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46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rsid w:val="009A3466"/>
    <w:pPr>
      <w:snapToGrid w:val="0"/>
      <w:jc w:val="left"/>
    </w:pPr>
    <w:rPr>
      <w:rFonts w:ascii="Times New Roman" w:hAnsi="Times New Roman" w:cs="Times New Roman"/>
      <w:kern w:val="0"/>
      <w:sz w:val="20"/>
      <w:szCs w:val="20"/>
    </w:rPr>
  </w:style>
  <w:style w:type="character" w:customStyle="1" w:styleId="a4">
    <w:name w:val="尾注文本 字符"/>
    <w:basedOn w:val="a0"/>
    <w:link w:val="a3"/>
    <w:uiPriority w:val="99"/>
    <w:rsid w:val="009A3466"/>
    <w:rPr>
      <w:rFonts w:ascii="Times New Roman" w:eastAsia="宋体" w:hAnsi="Times New Roman" w:cs="Times New Roman"/>
      <w:kern w:val="0"/>
      <w:sz w:val="20"/>
      <w:szCs w:val="20"/>
    </w:rPr>
  </w:style>
  <w:style w:type="paragraph" w:styleId="a5">
    <w:name w:val="header"/>
    <w:basedOn w:val="a"/>
    <w:link w:val="a6"/>
    <w:uiPriority w:val="99"/>
    <w:unhideWhenUsed/>
    <w:rsid w:val="005957E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957E6"/>
    <w:rPr>
      <w:rFonts w:ascii="Calibri" w:eastAsia="宋体" w:hAnsi="Calibri" w:cs="Calibri"/>
      <w:sz w:val="18"/>
      <w:szCs w:val="18"/>
    </w:rPr>
  </w:style>
  <w:style w:type="paragraph" w:styleId="a7">
    <w:name w:val="footer"/>
    <w:basedOn w:val="a"/>
    <w:link w:val="a8"/>
    <w:uiPriority w:val="99"/>
    <w:unhideWhenUsed/>
    <w:rsid w:val="005957E6"/>
    <w:pPr>
      <w:tabs>
        <w:tab w:val="center" w:pos="4153"/>
        <w:tab w:val="right" w:pos="8306"/>
      </w:tabs>
      <w:snapToGrid w:val="0"/>
      <w:jc w:val="left"/>
    </w:pPr>
    <w:rPr>
      <w:sz w:val="18"/>
      <w:szCs w:val="18"/>
    </w:rPr>
  </w:style>
  <w:style w:type="character" w:customStyle="1" w:styleId="a8">
    <w:name w:val="页脚 字符"/>
    <w:basedOn w:val="a0"/>
    <w:link w:val="a7"/>
    <w:uiPriority w:val="99"/>
    <w:rsid w:val="005957E6"/>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Windows User</cp:lastModifiedBy>
  <cp:revision>3</cp:revision>
  <dcterms:created xsi:type="dcterms:W3CDTF">2016-09-21T06:35:00Z</dcterms:created>
  <dcterms:modified xsi:type="dcterms:W3CDTF">2018-05-13T07:47:00Z</dcterms:modified>
</cp:coreProperties>
</file>